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EBC" w:rsidRDefault="00040EBC" w:rsidP="00040EBC">
      <w:pPr>
        <w:spacing w:line="360" w:lineRule="auto"/>
        <w:jc w:val="center"/>
        <w:outlineLvl w:val="0"/>
        <w:rPr>
          <w:b/>
          <w:bCs/>
          <w:kern w:val="28"/>
          <w:sz w:val="32"/>
          <w:szCs w:val="32"/>
          <w:lang w:eastAsia="x-none"/>
        </w:rPr>
      </w:pPr>
      <w:bookmarkStart w:id="0" w:name="_GoBack"/>
      <w:bookmarkEnd w:id="0"/>
      <w:r>
        <w:rPr>
          <w:rFonts w:eastAsiaTheme="minorHAnsi"/>
          <w:b/>
          <w:bCs/>
          <w:spacing w:val="70"/>
          <w:sz w:val="32"/>
          <w:szCs w:val="32"/>
          <w:shd w:val="clear" w:color="auto" w:fill="FFFFFF"/>
          <w:lang w:bidi="sk-SK"/>
        </w:rPr>
        <w:t>Všeobecne záväzné nariadenie</w:t>
      </w:r>
    </w:p>
    <w:p w:rsidR="00040EBC" w:rsidRDefault="00040EBC" w:rsidP="00040EBC">
      <w:pPr>
        <w:spacing w:line="360" w:lineRule="auto"/>
        <w:jc w:val="center"/>
        <w:outlineLvl w:val="0"/>
        <w:rPr>
          <w:b/>
          <w:bCs/>
          <w:kern w:val="28"/>
          <w:sz w:val="28"/>
          <w:szCs w:val="28"/>
          <w:lang w:val="x-none" w:eastAsia="x-none"/>
        </w:rPr>
      </w:pPr>
      <w:r>
        <w:rPr>
          <w:b/>
          <w:bCs/>
          <w:kern w:val="28"/>
          <w:sz w:val="28"/>
          <w:szCs w:val="28"/>
          <w:lang w:val="x-none" w:eastAsia="x-none"/>
        </w:rPr>
        <w:t xml:space="preserve">č. </w:t>
      </w:r>
      <w:r>
        <w:rPr>
          <w:b/>
          <w:bCs/>
          <w:kern w:val="28"/>
          <w:sz w:val="28"/>
          <w:szCs w:val="28"/>
          <w:lang w:eastAsia="x-none"/>
        </w:rPr>
        <w:t xml:space="preserve">      </w:t>
      </w:r>
      <w:r w:rsidR="006638AF">
        <w:rPr>
          <w:b/>
          <w:bCs/>
          <w:kern w:val="28"/>
          <w:sz w:val="28"/>
          <w:szCs w:val="28"/>
          <w:lang w:eastAsia="x-none"/>
        </w:rPr>
        <w:t>1</w:t>
      </w:r>
      <w:r>
        <w:rPr>
          <w:b/>
          <w:bCs/>
          <w:kern w:val="28"/>
          <w:sz w:val="28"/>
          <w:szCs w:val="28"/>
          <w:lang w:eastAsia="x-none"/>
        </w:rPr>
        <w:t xml:space="preserve"> /   2020</w:t>
      </w:r>
    </w:p>
    <w:p w:rsidR="00040EBC" w:rsidRDefault="006638AF" w:rsidP="00040EBC">
      <w:pPr>
        <w:spacing w:after="120" w:line="280" w:lineRule="atLeast"/>
        <w:jc w:val="center"/>
        <w:outlineLvl w:val="0"/>
        <w:rPr>
          <w:b/>
        </w:rPr>
      </w:pPr>
      <w:r>
        <w:rPr>
          <w:b/>
          <w:sz w:val="28"/>
          <w:szCs w:val="28"/>
        </w:rPr>
        <w:t>zo  dňa 20.02</w:t>
      </w:r>
      <w:r w:rsidR="00040EBC">
        <w:rPr>
          <w:b/>
          <w:sz w:val="28"/>
          <w:szCs w:val="28"/>
        </w:rPr>
        <w:t>.2020</w:t>
      </w:r>
      <w:r w:rsidR="00040EBC">
        <w:rPr>
          <w:b/>
          <w:sz w:val="28"/>
          <w:szCs w:val="28"/>
        </w:rPr>
        <w:br/>
      </w:r>
    </w:p>
    <w:p w:rsidR="00040EBC" w:rsidRDefault="00040EBC" w:rsidP="00040EBC">
      <w:pPr>
        <w:ind w:left="0" w:firstLine="0"/>
        <w:jc w:val="center"/>
        <w:rPr>
          <w:b/>
          <w:sz w:val="28"/>
          <w:szCs w:val="28"/>
        </w:rPr>
      </w:pPr>
      <w:r>
        <w:rPr>
          <w:b/>
          <w:sz w:val="28"/>
          <w:szCs w:val="28"/>
        </w:rPr>
        <w:t xml:space="preserve">ktorým sa mení a dopĺňa VZN č. 1/2019 o určení výšky dotácie na prevádzku a mzdy na žiaka základnej umeleckej školy, dieťa materskej školy a  školských zariadení so sídlom na území mesta Stará Turá </w:t>
      </w:r>
    </w:p>
    <w:p w:rsidR="00040EBC" w:rsidRDefault="00040EBC" w:rsidP="00040EBC">
      <w:pPr>
        <w:ind w:left="0" w:firstLine="0"/>
        <w:jc w:val="center"/>
        <w:rPr>
          <w:b/>
          <w:color w:val="auto"/>
          <w:sz w:val="28"/>
          <w:szCs w:val="28"/>
        </w:rPr>
      </w:pPr>
      <w:r>
        <w:rPr>
          <w:color w:val="auto"/>
          <w:lang w:eastAsia="cs-CZ"/>
        </w:rPr>
        <w:t>(ďalej len „nariadenie“).</w:t>
      </w:r>
    </w:p>
    <w:p w:rsidR="00992C19" w:rsidRDefault="00992C19" w:rsidP="00992C19">
      <w:pPr>
        <w:spacing w:after="120" w:line="280" w:lineRule="atLeast"/>
        <w:jc w:val="center"/>
        <w:outlineLvl w:val="0"/>
        <w:rPr>
          <w:b/>
          <w:sz w:val="28"/>
          <w:szCs w:val="28"/>
          <w:lang w:eastAsia="cs-CZ"/>
        </w:rPr>
      </w:pPr>
    </w:p>
    <w:p w:rsidR="00992C19" w:rsidRDefault="00992C19" w:rsidP="00992C19">
      <w:pPr>
        <w:spacing w:after="120" w:line="280" w:lineRule="atLeast"/>
        <w:jc w:val="both"/>
        <w:outlineLvl w:val="0"/>
        <w:rPr>
          <w:i/>
          <w:lang w:eastAsia="cs-CZ"/>
        </w:rPr>
      </w:pPr>
      <w:r>
        <w:rPr>
          <w:lang w:eastAsia="cs-CZ"/>
        </w:rPr>
        <w:t xml:space="preserve">Miestne zastupiteľstvo Mesta Stará Turá   podľa § 6   v spojení s § 29 zákona  č. 369/1990 Zb. o obecnom zriadení v znení neskorších predpisov,  § 6 </w:t>
      </w:r>
      <w:r>
        <w:rPr>
          <w:rFonts w:eastAsia="Calibri"/>
        </w:rPr>
        <w:t xml:space="preserve">ods. 12 písm. c) zákona č. 596/2003 Z. z. o štátnej správe v školstve a školskej samospráve a o zmene a doplnení niektorých zákonov </w:t>
      </w:r>
      <w:r>
        <w:rPr>
          <w:lang w:eastAsia="cs-CZ"/>
        </w:rPr>
        <w:t>v znení neskorších predpisov</w:t>
      </w:r>
      <w:r>
        <w:rPr>
          <w:rFonts w:eastAsia="Calibri"/>
        </w:rPr>
        <w:t xml:space="preserve"> </w:t>
      </w:r>
      <w:r>
        <w:rPr>
          <w:lang w:eastAsia="cs-CZ"/>
        </w:rPr>
        <w:t>sa uznieslo na tomto všeobecne záväznom nariadení .</w:t>
      </w:r>
    </w:p>
    <w:p w:rsidR="00992C19" w:rsidRDefault="00992C19" w:rsidP="00992C19">
      <w:pPr>
        <w:autoSpaceDE w:val="0"/>
        <w:autoSpaceDN w:val="0"/>
        <w:adjustRightInd w:val="0"/>
        <w:spacing w:after="120" w:line="280" w:lineRule="atLeast"/>
        <w:jc w:val="center"/>
        <w:outlineLvl w:val="0"/>
        <w:rPr>
          <w:b/>
          <w:bCs/>
          <w:lang w:eastAsia="cs-CZ"/>
        </w:rPr>
      </w:pPr>
      <w:r>
        <w:rPr>
          <w:b/>
          <w:bCs/>
          <w:lang w:eastAsia="cs-CZ"/>
        </w:rPr>
        <w:t>§ 1</w:t>
      </w:r>
    </w:p>
    <w:p w:rsidR="00992C19" w:rsidRDefault="00992C19" w:rsidP="00992C19">
      <w:pPr>
        <w:autoSpaceDE w:val="0"/>
        <w:autoSpaceDN w:val="0"/>
        <w:adjustRightInd w:val="0"/>
        <w:spacing w:after="120" w:line="280" w:lineRule="atLeast"/>
        <w:jc w:val="center"/>
        <w:outlineLvl w:val="0"/>
        <w:rPr>
          <w:b/>
          <w:bCs/>
          <w:lang w:eastAsia="cs-CZ"/>
        </w:rPr>
      </w:pPr>
      <w:r>
        <w:rPr>
          <w:b/>
          <w:bCs/>
          <w:lang w:eastAsia="cs-CZ"/>
        </w:rPr>
        <w:t xml:space="preserve">Účel a predmet </w:t>
      </w:r>
    </w:p>
    <w:p w:rsidR="00992C19" w:rsidRDefault="00992C19" w:rsidP="00992C19">
      <w:pPr>
        <w:pStyle w:val="Odsekzoznamu"/>
        <w:numPr>
          <w:ilvl w:val="0"/>
          <w:numId w:val="1"/>
        </w:numPr>
        <w:ind w:left="0" w:firstLine="0"/>
        <w:jc w:val="both"/>
        <w:rPr>
          <w:lang w:eastAsia="cs-CZ"/>
        </w:rPr>
      </w:pPr>
      <w:r>
        <w:rPr>
          <w:lang w:eastAsia="cs-CZ"/>
        </w:rPr>
        <w:t>Nariadenie určuje výšku dotácie na mzdové a prevádzkové náklady na dieťa Materskej školy (ďalej len „MŠ“), Školského klubu detí (ďalej len „ŠKD“) a Školskej jedálne (ďalej len „ŠJ“) pri základnej škole (ďalej len „ZŠ“), Základnej umeleckej školy (ďalej len „ZUŠ“), Centra voľného času (ďalej len „CVČ“), ktorých zriaďovateľom je Mesto Stará Turá.</w:t>
      </w:r>
    </w:p>
    <w:p w:rsidR="00992C19" w:rsidRDefault="00992C19" w:rsidP="00992C19">
      <w:pPr>
        <w:pStyle w:val="Odsekzoznamu"/>
        <w:ind w:left="0"/>
        <w:jc w:val="both"/>
        <w:rPr>
          <w:lang w:eastAsia="cs-CZ"/>
        </w:rPr>
      </w:pPr>
    </w:p>
    <w:p w:rsidR="00992C19" w:rsidRDefault="00992C19" w:rsidP="00992C19">
      <w:pPr>
        <w:pStyle w:val="Odsekzoznamu"/>
        <w:numPr>
          <w:ilvl w:val="0"/>
          <w:numId w:val="1"/>
        </w:numPr>
        <w:tabs>
          <w:tab w:val="left" w:pos="284"/>
        </w:tabs>
        <w:ind w:left="0" w:firstLine="0"/>
        <w:jc w:val="both"/>
        <w:rPr>
          <w:lang w:eastAsia="cs-CZ"/>
        </w:rPr>
      </w:pPr>
      <w:r>
        <w:t xml:space="preserve">       Nariadenie ďalej určuje pre MŠ, ŠKD,ŠJ, ZUŠ a CVČ:</w:t>
      </w:r>
    </w:p>
    <w:p w:rsidR="00992C19" w:rsidRDefault="00992C19" w:rsidP="00992C19">
      <w:pPr>
        <w:numPr>
          <w:ilvl w:val="0"/>
          <w:numId w:val="2"/>
        </w:numPr>
        <w:tabs>
          <w:tab w:val="left" w:pos="284"/>
        </w:tabs>
        <w:spacing w:after="0" w:line="240" w:lineRule="auto"/>
        <w:ind w:left="0" w:right="0" w:firstLine="0"/>
        <w:jc w:val="both"/>
        <w:rPr>
          <w:lang w:eastAsia="cs-CZ"/>
        </w:rPr>
      </w:pPr>
      <w:r>
        <w:rPr>
          <w:lang w:eastAsia="cs-CZ"/>
        </w:rPr>
        <w:t>podrobnosti financovania,</w:t>
      </w:r>
    </w:p>
    <w:p w:rsidR="00992C19" w:rsidRDefault="00992C19" w:rsidP="00992C19">
      <w:pPr>
        <w:numPr>
          <w:ilvl w:val="0"/>
          <w:numId w:val="2"/>
        </w:numPr>
        <w:tabs>
          <w:tab w:val="left" w:pos="284"/>
        </w:tabs>
        <w:spacing w:after="0" w:line="240" w:lineRule="auto"/>
        <w:ind w:left="0" w:right="0" w:firstLine="0"/>
        <w:jc w:val="both"/>
        <w:rPr>
          <w:lang w:eastAsia="cs-CZ"/>
        </w:rPr>
      </w:pPr>
      <w:r>
        <w:rPr>
          <w:lang w:eastAsia="cs-CZ"/>
        </w:rPr>
        <w:t xml:space="preserve">výšku finančných prostriedkov na kalendárny rok na mzdy, odvody a bežnú prevádzku, </w:t>
      </w:r>
    </w:p>
    <w:p w:rsidR="00992C19" w:rsidRDefault="00992C19" w:rsidP="00992C19">
      <w:pPr>
        <w:numPr>
          <w:ilvl w:val="0"/>
          <w:numId w:val="2"/>
        </w:numPr>
        <w:tabs>
          <w:tab w:val="left" w:pos="284"/>
        </w:tabs>
        <w:spacing w:after="0" w:line="240" w:lineRule="auto"/>
        <w:ind w:left="0" w:right="0" w:firstLine="0"/>
        <w:jc w:val="both"/>
        <w:rPr>
          <w:lang w:eastAsia="cs-CZ"/>
        </w:rPr>
      </w:pPr>
      <w:r>
        <w:rPr>
          <w:lang w:eastAsia="cs-CZ"/>
        </w:rPr>
        <w:t xml:space="preserve">lehotu na predloženie údajov potrebných na financovanie, </w:t>
      </w:r>
    </w:p>
    <w:p w:rsidR="00992C19" w:rsidRDefault="00992C19" w:rsidP="00992C19">
      <w:pPr>
        <w:numPr>
          <w:ilvl w:val="0"/>
          <w:numId w:val="2"/>
        </w:numPr>
        <w:tabs>
          <w:tab w:val="left" w:pos="284"/>
        </w:tabs>
        <w:spacing w:after="0" w:line="240" w:lineRule="auto"/>
        <w:ind w:left="0" w:right="0" w:firstLine="0"/>
        <w:jc w:val="both"/>
        <w:rPr>
          <w:lang w:eastAsia="cs-CZ"/>
        </w:rPr>
      </w:pPr>
      <w:r>
        <w:rPr>
          <w:lang w:eastAsia="cs-CZ"/>
        </w:rPr>
        <w:t>deň v mesiaci, v ktorom Mesto Stará Turá poskytne finančné prostriedky.</w:t>
      </w:r>
    </w:p>
    <w:p w:rsidR="00992C19" w:rsidRDefault="00992C19" w:rsidP="00992C19">
      <w:pPr>
        <w:ind w:left="720"/>
        <w:jc w:val="both"/>
      </w:pPr>
    </w:p>
    <w:p w:rsidR="00992C19" w:rsidRDefault="00992C19" w:rsidP="00992C19">
      <w:pPr>
        <w:pStyle w:val="Odsekzoznamu"/>
        <w:numPr>
          <w:ilvl w:val="0"/>
          <w:numId w:val="1"/>
        </w:numPr>
        <w:ind w:left="142" w:hanging="142"/>
        <w:jc w:val="both"/>
      </w:pPr>
      <w:r>
        <w:t>Pri určení výšky  dotácie sa vychádza  z rozdelenia  ustanoveného v osobitnom predpise o rozdeľovaní výnosu dane z príjmov územnej samospráve</w:t>
      </w:r>
      <w:r>
        <w:rPr>
          <w:rStyle w:val="Odkaznapoznmkupodiarou"/>
        </w:rPr>
        <w:footnoteReference w:id="1"/>
      </w:r>
      <w:r>
        <w:t xml:space="preserve"> pre obec.  Pre školy a školské zariadenia  sa  výška dotácie  určuje súčinom počtu  prijatých žiakov /detí  s osobitným  jednotkovým koeficientom a s koeficientmi, stanovenými pre jednotlivé školy a školské  zariadenia v prílohe č. 3  osobitného predpisu o rozdeľovaní výnosu dane z príjmov územnej samospráve</w:t>
      </w:r>
      <w:r>
        <w:rPr>
          <w:vertAlign w:val="superscript"/>
        </w:rPr>
        <w:t>1</w:t>
      </w:r>
      <w:r>
        <w:t xml:space="preserve">. </w:t>
      </w:r>
    </w:p>
    <w:p w:rsidR="00992C19" w:rsidRDefault="00992C19" w:rsidP="00992C19">
      <w:pPr>
        <w:jc w:val="both"/>
      </w:pPr>
    </w:p>
    <w:p w:rsidR="00992C19" w:rsidRDefault="00992C19" w:rsidP="00992C19">
      <w:pPr>
        <w:pStyle w:val="Odsekzoznamu"/>
        <w:numPr>
          <w:ilvl w:val="0"/>
          <w:numId w:val="1"/>
        </w:numPr>
        <w:ind w:left="0" w:firstLine="0"/>
        <w:jc w:val="both"/>
      </w:pPr>
      <w:r>
        <w:t>Mesto Stará Turá poskytuje dotácie podľa svojich finančných možností a v súlade                  so schváleným rozpočtom a právnymi predpismi.</w:t>
      </w:r>
    </w:p>
    <w:p w:rsidR="00992C19" w:rsidRDefault="00992C19" w:rsidP="00992C19">
      <w:pPr>
        <w:tabs>
          <w:tab w:val="left" w:pos="10361"/>
        </w:tabs>
        <w:ind w:left="360" w:right="101" w:hanging="540"/>
        <w:jc w:val="both"/>
        <w:rPr>
          <w:lang w:eastAsia="cs-CZ"/>
        </w:rPr>
      </w:pPr>
      <w:r>
        <w:rPr>
          <w:b/>
          <w:lang w:eastAsia="cs-CZ"/>
        </w:rPr>
        <w:t xml:space="preserve">  </w:t>
      </w:r>
    </w:p>
    <w:p w:rsidR="00992C19" w:rsidRDefault="00992C19" w:rsidP="00992C19">
      <w:pPr>
        <w:autoSpaceDE w:val="0"/>
        <w:autoSpaceDN w:val="0"/>
        <w:adjustRightInd w:val="0"/>
        <w:ind w:left="3552" w:firstLine="696"/>
        <w:outlineLvl w:val="0"/>
        <w:rPr>
          <w:rFonts w:eastAsia="Calibri"/>
          <w:b/>
          <w:bCs/>
          <w:lang w:eastAsia="en-US"/>
        </w:rPr>
      </w:pPr>
    </w:p>
    <w:p w:rsidR="00992C19" w:rsidRDefault="00992C19" w:rsidP="00992C19">
      <w:pPr>
        <w:autoSpaceDE w:val="0"/>
        <w:autoSpaceDN w:val="0"/>
        <w:adjustRightInd w:val="0"/>
        <w:ind w:left="3552" w:firstLine="696"/>
        <w:outlineLvl w:val="0"/>
        <w:rPr>
          <w:rFonts w:eastAsia="Calibri"/>
          <w:b/>
          <w:bCs/>
          <w:lang w:eastAsia="en-US"/>
        </w:rPr>
      </w:pPr>
      <w:r>
        <w:rPr>
          <w:rFonts w:eastAsia="Calibri"/>
          <w:b/>
          <w:bCs/>
          <w:lang w:eastAsia="en-US"/>
        </w:rPr>
        <w:t>§ 2</w:t>
      </w:r>
    </w:p>
    <w:p w:rsidR="00992C19" w:rsidRDefault="00992C19" w:rsidP="00992C19">
      <w:pPr>
        <w:spacing w:before="100" w:beforeAutospacing="1" w:after="100" w:afterAutospacing="1"/>
        <w:jc w:val="center"/>
      </w:pPr>
      <w:r>
        <w:rPr>
          <w:b/>
          <w:bCs/>
        </w:rPr>
        <w:t>Vymedzenie základných pojmov</w:t>
      </w:r>
    </w:p>
    <w:p w:rsidR="00992C19" w:rsidRDefault="00992C19" w:rsidP="00992C19">
      <w:pPr>
        <w:spacing w:before="100" w:beforeAutospacing="1" w:after="100" w:afterAutospacing="1"/>
        <w:jc w:val="both"/>
      </w:pPr>
      <w:r>
        <w:lastRenderedPageBreak/>
        <w:t>(1)</w:t>
      </w:r>
      <w:r>
        <w:rPr>
          <w:b/>
        </w:rPr>
        <w:t xml:space="preserve"> Dotácia na mzdy</w:t>
      </w:r>
      <w:r>
        <w:t xml:space="preserve"> zahŕňa bežné výdavky definované Ministerstvom financií Slovenskej republiky v ekonomickej klasifikácii rozpočtovej klasifikácie v kategórii:</w:t>
      </w:r>
    </w:p>
    <w:p w:rsidR="00992C19" w:rsidRDefault="00992C19" w:rsidP="00992C19">
      <w:pPr>
        <w:numPr>
          <w:ilvl w:val="0"/>
          <w:numId w:val="3"/>
        </w:numPr>
        <w:spacing w:before="100" w:beforeAutospacing="1" w:after="100" w:afterAutospacing="1" w:line="240" w:lineRule="auto"/>
        <w:ind w:right="0"/>
        <w:jc w:val="both"/>
      </w:pPr>
      <w:r>
        <w:rPr>
          <w:b/>
        </w:rPr>
        <w:t xml:space="preserve">610 -  mzdy, platy, služobné príjmy a ostatné osobné vyrovnania </w:t>
      </w:r>
      <w:r>
        <w:t xml:space="preserve">(výdavky  na tarifný plat, osobný plat, príplatok za riadenie, príplatok za zastupovanie, osobný príplatok, platovú kompenzáciu za sťažený výkon práce, príplatok za zmennosť, príplatok za výkon špecializovanej činnosti, kreditový príplatok, výkonnostný príplatok, príplatok za praktickú prípravu, príplatok za prácu v noci, príplatok za prácu v sobotu alebo v nedeľu, príplatok za prácu vo sviatok, plat za prácu nadčas, plat za neaktívnu časť pracovnej pohotovosti na pracovisku a odmenu) vyplácaných pedagogickému a nepedagogickému zamestnancovi školy a školského zariadenia za podmienok a v rozsahu ustanovených osobitným predpisom, </w:t>
      </w:r>
    </w:p>
    <w:p w:rsidR="00992C19" w:rsidRDefault="00992C19" w:rsidP="00992C19">
      <w:pPr>
        <w:numPr>
          <w:ilvl w:val="0"/>
          <w:numId w:val="3"/>
        </w:numPr>
        <w:spacing w:before="100" w:beforeAutospacing="1" w:after="100" w:afterAutospacing="1" w:line="240" w:lineRule="auto"/>
        <w:ind w:right="0"/>
        <w:jc w:val="both"/>
        <w:rPr>
          <w:b/>
        </w:rPr>
      </w:pPr>
      <w:r>
        <w:rPr>
          <w:b/>
        </w:rPr>
        <w:t xml:space="preserve">620 - poistné a príspevok do poisťovní </w:t>
      </w:r>
      <w:r>
        <w:t>(výdavky na poistné a príspevok  do poisťovní uhrádzané zamestnávateľom) za pedagogických a nepedagogických zamestnancov školy alebo školského zariadenia.</w:t>
      </w:r>
    </w:p>
    <w:p w:rsidR="00992C19" w:rsidRDefault="00992C19" w:rsidP="00992C19">
      <w:pPr>
        <w:spacing w:before="100" w:beforeAutospacing="1" w:after="100" w:afterAutospacing="1"/>
        <w:jc w:val="both"/>
      </w:pPr>
      <w:r>
        <w:rPr>
          <w:bCs/>
        </w:rPr>
        <w:t>(2)</w:t>
      </w:r>
      <w:r>
        <w:rPr>
          <w:b/>
          <w:bCs/>
        </w:rPr>
        <w:t xml:space="preserve"> Dotácia na prevádzku</w:t>
      </w:r>
      <w:r>
        <w:t xml:space="preserve"> zahŕňa bežné výdavky definované Ministerstvom financií   Slovenskej republiky v ekonomickej klasifikácii rozpočtovej klasifikácie v kategórii: </w:t>
      </w:r>
    </w:p>
    <w:p w:rsidR="00992C19" w:rsidRDefault="00992C19" w:rsidP="00992C19">
      <w:pPr>
        <w:numPr>
          <w:ilvl w:val="0"/>
          <w:numId w:val="4"/>
        </w:numPr>
        <w:spacing w:before="100" w:beforeAutospacing="1" w:after="100" w:afterAutospacing="1" w:line="240" w:lineRule="auto"/>
        <w:ind w:right="0"/>
        <w:jc w:val="both"/>
      </w:pPr>
      <w:r>
        <w:rPr>
          <w:b/>
        </w:rPr>
        <w:t xml:space="preserve">630 - tovary a služby </w:t>
      </w:r>
      <w:r>
        <w:t>(výdavky na cestovné náhrady, energie, vodu a komunikácie, materiál, dopravné, rutinnú a štandardnú údržbu, nájomné za nájom a služby špecifikované v položkách 631 až 637 ekonomickej klasifikácie),</w:t>
      </w:r>
    </w:p>
    <w:p w:rsidR="00992C19" w:rsidRDefault="00992C19" w:rsidP="00992C19">
      <w:pPr>
        <w:numPr>
          <w:ilvl w:val="0"/>
          <w:numId w:val="4"/>
        </w:numPr>
        <w:spacing w:before="100" w:beforeAutospacing="1" w:after="100" w:afterAutospacing="1" w:line="240" w:lineRule="auto"/>
        <w:ind w:right="0"/>
        <w:jc w:val="both"/>
        <w:rPr>
          <w:b/>
        </w:rPr>
      </w:pPr>
      <w:r>
        <w:rPr>
          <w:b/>
        </w:rPr>
        <w:t xml:space="preserve">640 – transfery </w:t>
      </w:r>
      <w:r>
        <w:t>(výdavky na odstupné a odchodné vyplácané podľa osobitných predpisov maximálne vo výške dohodnutej v kolektívnej zmluve vyššieho stupňa; výdavky na nemocenské dávky a úrazové dávky hradené zamestnávateľom podľa osobitných predpisov).</w:t>
      </w:r>
    </w:p>
    <w:p w:rsidR="00992C19" w:rsidRDefault="00992C19" w:rsidP="00992C19">
      <w:pPr>
        <w:spacing w:before="100" w:beforeAutospacing="1" w:after="100" w:afterAutospacing="1"/>
        <w:jc w:val="both"/>
      </w:pPr>
      <w:r>
        <w:rPr>
          <w:bCs/>
        </w:rPr>
        <w:t>(3)</w:t>
      </w:r>
      <w:r>
        <w:rPr>
          <w:b/>
          <w:bCs/>
        </w:rPr>
        <w:t xml:space="preserve"> Hospodárnosťou</w:t>
      </w:r>
      <w:r>
        <w:t xml:space="preserve"> je minimalizovanie nákladov na vykonanie činnosti alebo obstaranie tovarov, prác a služieb pri zachovaní ich primeranej úrovne a kvality.</w:t>
      </w:r>
    </w:p>
    <w:p w:rsidR="00992C19" w:rsidRDefault="00992C19" w:rsidP="00992C19">
      <w:pPr>
        <w:spacing w:before="100" w:beforeAutospacing="1" w:after="100" w:afterAutospacing="1"/>
        <w:jc w:val="both"/>
      </w:pPr>
      <w:r>
        <w:rPr>
          <w:bCs/>
        </w:rPr>
        <w:t>(4</w:t>
      </w:r>
      <w:r>
        <w:rPr>
          <w:b/>
          <w:bCs/>
        </w:rPr>
        <w:t>) Efektívnosťou</w:t>
      </w:r>
      <w:r>
        <w:t xml:space="preserve"> je maximalizovanie výsledkov činnosti vo vzťahu k disponibilným verejným prostriedkom.</w:t>
      </w:r>
    </w:p>
    <w:p w:rsidR="00992C19" w:rsidRDefault="00992C19" w:rsidP="00992C19">
      <w:pPr>
        <w:spacing w:before="100" w:beforeAutospacing="1" w:after="100" w:afterAutospacing="1"/>
        <w:jc w:val="both"/>
      </w:pPr>
      <w:r>
        <w:rPr>
          <w:bCs/>
        </w:rPr>
        <w:t>(5)</w:t>
      </w:r>
      <w:r>
        <w:rPr>
          <w:b/>
          <w:bCs/>
        </w:rPr>
        <w:t xml:space="preserve"> Účinnosťou</w:t>
      </w:r>
      <w:r>
        <w:t xml:space="preserve"> je vzťah medzi plánovaným výsledkom činnosti a skutočným výsledkom činnosti vzhľadom na použité verejné prostriedky.</w:t>
      </w:r>
    </w:p>
    <w:p w:rsidR="00992C19" w:rsidRDefault="00992C19" w:rsidP="00992C19">
      <w:pPr>
        <w:outlineLvl w:val="0"/>
        <w:rPr>
          <w:b/>
          <w:bCs/>
        </w:rPr>
      </w:pPr>
    </w:p>
    <w:p w:rsidR="00992C19" w:rsidRDefault="00992C19" w:rsidP="00992C19">
      <w:pPr>
        <w:jc w:val="center"/>
        <w:outlineLvl w:val="0"/>
        <w:rPr>
          <w:b/>
          <w:bCs/>
        </w:rPr>
      </w:pPr>
    </w:p>
    <w:p w:rsidR="00992C19" w:rsidRDefault="00992C19" w:rsidP="00992C19">
      <w:pPr>
        <w:jc w:val="center"/>
        <w:outlineLvl w:val="0"/>
        <w:rPr>
          <w:b/>
          <w:bCs/>
        </w:rPr>
      </w:pPr>
    </w:p>
    <w:p w:rsidR="00992C19" w:rsidRDefault="00992C19" w:rsidP="00992C19">
      <w:pPr>
        <w:jc w:val="center"/>
        <w:outlineLvl w:val="0"/>
        <w:rPr>
          <w:b/>
          <w:bCs/>
        </w:rPr>
      </w:pPr>
      <w:r>
        <w:rPr>
          <w:b/>
          <w:bCs/>
        </w:rPr>
        <w:t>§ 3</w:t>
      </w:r>
    </w:p>
    <w:p w:rsidR="00992C19" w:rsidRDefault="00992C19" w:rsidP="00992C19">
      <w:pPr>
        <w:autoSpaceDE w:val="0"/>
        <w:autoSpaceDN w:val="0"/>
        <w:adjustRightInd w:val="0"/>
        <w:jc w:val="center"/>
        <w:rPr>
          <w:b/>
          <w:bCs/>
        </w:rPr>
      </w:pPr>
      <w:r>
        <w:rPr>
          <w:b/>
          <w:bCs/>
        </w:rPr>
        <w:t>Podrobnosti financovania</w:t>
      </w:r>
    </w:p>
    <w:p w:rsidR="00992C19" w:rsidRDefault="00992C19" w:rsidP="00992C19">
      <w:pPr>
        <w:autoSpaceDE w:val="0"/>
        <w:autoSpaceDN w:val="0"/>
        <w:adjustRightInd w:val="0"/>
        <w:jc w:val="both"/>
        <w:rPr>
          <w:bCs/>
        </w:rPr>
      </w:pPr>
    </w:p>
    <w:p w:rsidR="00992C19" w:rsidRDefault="00992C19" w:rsidP="00992C19">
      <w:pPr>
        <w:autoSpaceDE w:val="0"/>
        <w:autoSpaceDN w:val="0"/>
        <w:adjustRightInd w:val="0"/>
        <w:jc w:val="both"/>
        <w:rPr>
          <w:bCs/>
        </w:rPr>
      </w:pPr>
      <w:r>
        <w:rPr>
          <w:bCs/>
        </w:rPr>
        <w:t>Dotácie na mzdy a prevádzku</w:t>
      </w:r>
      <w:r>
        <w:t xml:space="preserve"> v aktuálnom kalendárnom roku vychádzajú z vykázaných údajov uvedených v štatistickom výkaze Škol (MŠVVŠ SR) 40-01 k 15. septembru predchádzajúceho kalendárneho roka. </w:t>
      </w:r>
      <w:r>
        <w:rPr>
          <w:bCs/>
        </w:rPr>
        <w:t>Priznávajú sa pre:</w:t>
      </w:r>
    </w:p>
    <w:p w:rsidR="00992C19" w:rsidRDefault="00992C19" w:rsidP="00992C19">
      <w:pPr>
        <w:numPr>
          <w:ilvl w:val="0"/>
          <w:numId w:val="5"/>
        </w:numPr>
        <w:autoSpaceDE w:val="0"/>
        <w:autoSpaceDN w:val="0"/>
        <w:adjustRightInd w:val="0"/>
        <w:spacing w:after="0" w:line="240" w:lineRule="auto"/>
        <w:ind w:right="0" w:hanging="720"/>
        <w:contextualSpacing/>
        <w:jc w:val="both"/>
        <w:rPr>
          <w:bCs/>
        </w:rPr>
      </w:pPr>
      <w:r>
        <w:rPr>
          <w:bCs/>
        </w:rPr>
        <w:t>MŠ</w:t>
      </w:r>
      <w:r>
        <w:rPr>
          <w:bCs/>
        </w:rPr>
        <w:tab/>
        <w:t>-  podľa počtu prijatých detí na základe rozhodnutia riaditeľa MŠ,</w:t>
      </w:r>
    </w:p>
    <w:p w:rsidR="00992C19" w:rsidRDefault="00992C19" w:rsidP="00992C19">
      <w:pPr>
        <w:numPr>
          <w:ilvl w:val="0"/>
          <w:numId w:val="5"/>
        </w:numPr>
        <w:autoSpaceDE w:val="0"/>
        <w:autoSpaceDN w:val="0"/>
        <w:adjustRightInd w:val="0"/>
        <w:spacing w:after="0" w:line="240" w:lineRule="auto"/>
        <w:ind w:left="0" w:right="0" w:firstLine="0"/>
        <w:contextualSpacing/>
        <w:jc w:val="both"/>
        <w:rPr>
          <w:bCs/>
        </w:rPr>
      </w:pPr>
      <w:r>
        <w:rPr>
          <w:bCs/>
        </w:rPr>
        <w:t xml:space="preserve">ŠKD  </w:t>
      </w:r>
      <w:r>
        <w:rPr>
          <w:bCs/>
        </w:rPr>
        <w:tab/>
        <w:t>- podľa počtu prijatých  žiakov ŠKD,</w:t>
      </w:r>
    </w:p>
    <w:p w:rsidR="00992C19" w:rsidRDefault="00992C19" w:rsidP="00992C19">
      <w:pPr>
        <w:numPr>
          <w:ilvl w:val="0"/>
          <w:numId w:val="5"/>
        </w:numPr>
        <w:autoSpaceDE w:val="0"/>
        <w:autoSpaceDN w:val="0"/>
        <w:adjustRightInd w:val="0"/>
        <w:spacing w:after="0" w:line="240" w:lineRule="auto"/>
        <w:ind w:left="0" w:right="0" w:firstLine="0"/>
        <w:contextualSpacing/>
        <w:jc w:val="both"/>
        <w:rPr>
          <w:bCs/>
        </w:rPr>
      </w:pPr>
      <w:r>
        <w:rPr>
          <w:bCs/>
        </w:rPr>
        <w:t>ŠJ        - podľa počtu všetkých žiakov ZŠ,</w:t>
      </w:r>
    </w:p>
    <w:p w:rsidR="00992C19" w:rsidRDefault="00992C19" w:rsidP="00992C19">
      <w:pPr>
        <w:numPr>
          <w:ilvl w:val="0"/>
          <w:numId w:val="5"/>
        </w:numPr>
        <w:autoSpaceDE w:val="0"/>
        <w:autoSpaceDN w:val="0"/>
        <w:adjustRightInd w:val="0"/>
        <w:spacing w:after="0" w:line="240" w:lineRule="auto"/>
        <w:ind w:left="709" w:right="0" w:hanging="709"/>
        <w:contextualSpacing/>
        <w:jc w:val="both"/>
        <w:rPr>
          <w:bCs/>
        </w:rPr>
      </w:pPr>
      <w:r>
        <w:rPr>
          <w:bCs/>
        </w:rPr>
        <w:lastRenderedPageBreak/>
        <w:t>ZUŠ  - da) individuálna forma vzdelávania podľa počtu prijatých žiakov do 15 rokov na základe rozhodnutia riaditeľa ZUŠ</w:t>
      </w:r>
    </w:p>
    <w:p w:rsidR="00992C19" w:rsidRDefault="00992C19" w:rsidP="00992C19">
      <w:pPr>
        <w:autoSpaceDE w:val="0"/>
        <w:autoSpaceDN w:val="0"/>
        <w:adjustRightInd w:val="0"/>
        <w:ind w:left="709"/>
        <w:contextualSpacing/>
        <w:jc w:val="both"/>
        <w:rPr>
          <w:bCs/>
        </w:rPr>
      </w:pPr>
      <w:r>
        <w:rPr>
          <w:bCs/>
        </w:rPr>
        <w:t xml:space="preserve">            -db)  skupinová forma vzdelávania   podľa počtu prijatých žiakov do 15 rokov  na základe rozhodnutia riaditeľa ZUŠ</w:t>
      </w:r>
    </w:p>
    <w:p w:rsidR="00992C19" w:rsidRDefault="00992C19" w:rsidP="00992C19">
      <w:pPr>
        <w:numPr>
          <w:ilvl w:val="0"/>
          <w:numId w:val="5"/>
        </w:numPr>
        <w:autoSpaceDE w:val="0"/>
        <w:autoSpaceDN w:val="0"/>
        <w:adjustRightInd w:val="0"/>
        <w:spacing w:after="0" w:line="240" w:lineRule="auto"/>
        <w:ind w:left="0" w:right="0" w:firstLine="0"/>
        <w:contextualSpacing/>
        <w:jc w:val="both"/>
        <w:rPr>
          <w:bCs/>
        </w:rPr>
      </w:pPr>
      <w:r>
        <w:rPr>
          <w:bCs/>
        </w:rPr>
        <w:t>CVČ  - podľa počtu  detí od 5 rokov do 15 rokov s trvalým pobytom na území mesta</w:t>
      </w:r>
    </w:p>
    <w:p w:rsidR="00992C19" w:rsidRDefault="00992C19" w:rsidP="00992C19">
      <w:pPr>
        <w:autoSpaceDE w:val="0"/>
        <w:autoSpaceDN w:val="0"/>
        <w:adjustRightInd w:val="0"/>
        <w:jc w:val="both"/>
      </w:pPr>
    </w:p>
    <w:p w:rsidR="00992C19" w:rsidRDefault="00992C19" w:rsidP="00992C19">
      <w:pPr>
        <w:jc w:val="center"/>
        <w:outlineLvl w:val="0"/>
        <w:rPr>
          <w:b/>
          <w:bCs/>
        </w:rPr>
      </w:pPr>
      <w:r>
        <w:rPr>
          <w:b/>
          <w:bCs/>
        </w:rPr>
        <w:t>§ 4</w:t>
      </w:r>
    </w:p>
    <w:p w:rsidR="00992C19" w:rsidRDefault="00992C19" w:rsidP="00992C19">
      <w:pPr>
        <w:jc w:val="center"/>
        <w:outlineLvl w:val="0"/>
        <w:rPr>
          <w:b/>
          <w:bCs/>
        </w:rPr>
      </w:pPr>
    </w:p>
    <w:p w:rsidR="00992C19" w:rsidRDefault="00992C19" w:rsidP="00992C19">
      <w:pPr>
        <w:jc w:val="center"/>
        <w:rPr>
          <w:b/>
          <w:bCs/>
        </w:rPr>
      </w:pPr>
      <w:r>
        <w:rPr>
          <w:b/>
          <w:bCs/>
        </w:rPr>
        <w:t>Príjemca dotácie</w:t>
      </w:r>
    </w:p>
    <w:p w:rsidR="00992C19" w:rsidRDefault="00992C19" w:rsidP="00992C19">
      <w:pPr>
        <w:jc w:val="both"/>
        <w:rPr>
          <w:bCs/>
        </w:rPr>
      </w:pPr>
      <w:r>
        <w:rPr>
          <w:bCs/>
        </w:rPr>
        <w:t xml:space="preserve">Príjemcom dotácie podľa tohto nariadenia sú nasledovné školy a školské zariadenia s právnou subjektivitou v zriaďovateľskej pôsobnosti mesta Stará Turá: </w:t>
      </w:r>
    </w:p>
    <w:p w:rsidR="00992C19" w:rsidRDefault="00992C19" w:rsidP="00992C19">
      <w:pPr>
        <w:jc w:val="both"/>
        <w:rPr>
          <w:bCs/>
        </w:rPr>
      </w:pPr>
      <w:r>
        <w:rPr>
          <w:bCs/>
        </w:rPr>
        <w:t xml:space="preserve"> </w:t>
      </w:r>
    </w:p>
    <w:p w:rsidR="00992C19" w:rsidRDefault="00992C19" w:rsidP="00992C19">
      <w:pPr>
        <w:jc w:val="both"/>
        <w:rPr>
          <w:bCs/>
        </w:rPr>
      </w:pPr>
      <w:r>
        <w:rPr>
          <w:bCs/>
        </w:rPr>
        <w:t xml:space="preserve"> a) Základná škola Hurbanova 128/25  Stará Turá , </w:t>
      </w:r>
    </w:p>
    <w:p w:rsidR="00992C19" w:rsidRDefault="00992C19" w:rsidP="00992C19">
      <w:pPr>
        <w:jc w:val="both"/>
        <w:rPr>
          <w:bCs/>
        </w:rPr>
      </w:pPr>
      <w:r>
        <w:rPr>
          <w:bCs/>
        </w:rPr>
        <w:t xml:space="preserve"> b) Základná umelecká škola SNP  293/17A  Stará Turá, </w:t>
      </w:r>
    </w:p>
    <w:p w:rsidR="00992C19" w:rsidRDefault="00992C19" w:rsidP="00992C19">
      <w:pPr>
        <w:jc w:val="both"/>
        <w:rPr>
          <w:bCs/>
        </w:rPr>
      </w:pPr>
      <w:r>
        <w:rPr>
          <w:bCs/>
        </w:rPr>
        <w:t xml:space="preserve"> c) Materská škola Hurbanova 153/62 Stará Turá,  </w:t>
      </w:r>
    </w:p>
    <w:p w:rsidR="00992C19" w:rsidRDefault="00992C19" w:rsidP="00992C19">
      <w:pPr>
        <w:jc w:val="both"/>
        <w:rPr>
          <w:bCs/>
        </w:rPr>
      </w:pPr>
      <w:r>
        <w:rPr>
          <w:bCs/>
        </w:rPr>
        <w:t xml:space="preserve"> d) Centrum voľného času Gen. M.R. Štefánika  355/4 Stará Turá. </w:t>
      </w:r>
    </w:p>
    <w:p w:rsidR="00992C19" w:rsidRDefault="00992C19" w:rsidP="00992C19">
      <w:pPr>
        <w:jc w:val="both"/>
        <w:rPr>
          <w:bCs/>
        </w:rPr>
      </w:pPr>
      <w:r>
        <w:rPr>
          <w:bCs/>
        </w:rPr>
        <w:t xml:space="preserve"> </w:t>
      </w:r>
    </w:p>
    <w:p w:rsidR="00992C19" w:rsidRDefault="00992C19" w:rsidP="00992C19">
      <w:pPr>
        <w:outlineLvl w:val="0"/>
        <w:rPr>
          <w:rFonts w:eastAsiaTheme="minorHAnsi"/>
          <w:b/>
          <w:bCs/>
          <w:lang w:eastAsia="en-US"/>
        </w:rPr>
      </w:pPr>
    </w:p>
    <w:p w:rsidR="00992C19" w:rsidRDefault="00992C19" w:rsidP="00992C19">
      <w:pPr>
        <w:jc w:val="center"/>
        <w:outlineLvl w:val="0"/>
        <w:rPr>
          <w:rFonts w:eastAsiaTheme="minorHAnsi"/>
          <w:b/>
          <w:bCs/>
          <w:lang w:eastAsia="en-US"/>
        </w:rPr>
      </w:pPr>
    </w:p>
    <w:p w:rsidR="00992C19" w:rsidRDefault="00992C19" w:rsidP="00992C19">
      <w:pPr>
        <w:jc w:val="center"/>
        <w:outlineLvl w:val="0"/>
        <w:rPr>
          <w:b/>
          <w:bCs/>
        </w:rPr>
      </w:pPr>
      <w:r>
        <w:rPr>
          <w:b/>
          <w:bCs/>
        </w:rPr>
        <w:t>§ 5</w:t>
      </w:r>
    </w:p>
    <w:p w:rsidR="00992C19" w:rsidRDefault="00992C19" w:rsidP="00992C19">
      <w:pPr>
        <w:jc w:val="center"/>
        <w:rPr>
          <w:b/>
          <w:bCs/>
        </w:rPr>
      </w:pPr>
      <w:r>
        <w:rPr>
          <w:b/>
          <w:bCs/>
        </w:rPr>
        <w:t>Výška dotácie</w:t>
      </w:r>
    </w:p>
    <w:p w:rsidR="00992C19" w:rsidRDefault="00992C19" w:rsidP="00992C19">
      <w:pPr>
        <w:jc w:val="center"/>
        <w:rPr>
          <w:b/>
          <w:bCs/>
        </w:rPr>
      </w:pPr>
    </w:p>
    <w:p w:rsidR="00992C19" w:rsidRDefault="00992C19" w:rsidP="00992C19">
      <w:pPr>
        <w:numPr>
          <w:ilvl w:val="0"/>
          <w:numId w:val="6"/>
        </w:numPr>
        <w:autoSpaceDE w:val="0"/>
        <w:autoSpaceDN w:val="0"/>
        <w:adjustRightInd w:val="0"/>
        <w:spacing w:after="0" w:line="240" w:lineRule="auto"/>
        <w:ind w:left="0" w:right="0" w:firstLine="0"/>
        <w:contextualSpacing/>
        <w:jc w:val="both"/>
        <w:rPr>
          <w:rFonts w:eastAsiaTheme="minorHAnsi"/>
          <w:lang w:eastAsia="en-US"/>
        </w:rPr>
      </w:pPr>
      <w:r>
        <w:rPr>
          <w:rFonts w:eastAsiaTheme="minorHAnsi"/>
          <w:lang w:eastAsia="en-US"/>
        </w:rPr>
        <w:t>Výška dotácie na príslušný kalendárny rok na mzdy a prevádzku na dieťa MŠ, ŠKD, ŠJ, ZUŠ a CVČ  je určená v prílohe  nariadenia.</w:t>
      </w:r>
    </w:p>
    <w:p w:rsidR="00992C19" w:rsidRDefault="00992C19" w:rsidP="00992C19">
      <w:pPr>
        <w:autoSpaceDE w:val="0"/>
        <w:autoSpaceDN w:val="0"/>
        <w:adjustRightInd w:val="0"/>
        <w:jc w:val="both"/>
        <w:rPr>
          <w:rFonts w:eastAsiaTheme="minorHAnsi"/>
          <w:lang w:eastAsia="en-US"/>
        </w:rPr>
      </w:pPr>
    </w:p>
    <w:p w:rsidR="00992C19" w:rsidRDefault="00992C19" w:rsidP="00992C19">
      <w:pPr>
        <w:numPr>
          <w:ilvl w:val="0"/>
          <w:numId w:val="6"/>
        </w:numPr>
        <w:autoSpaceDE w:val="0"/>
        <w:autoSpaceDN w:val="0"/>
        <w:adjustRightInd w:val="0"/>
        <w:spacing w:after="0" w:line="240" w:lineRule="auto"/>
        <w:ind w:left="0" w:right="0" w:firstLine="0"/>
        <w:contextualSpacing/>
        <w:jc w:val="both"/>
        <w:rPr>
          <w:rFonts w:ascii="Times-Roman" w:hAnsi="Times-Roman" w:cs="Times-Roman"/>
        </w:rPr>
      </w:pPr>
      <w:r>
        <w:rPr>
          <w:rFonts w:ascii="Times-Roman" w:hAnsi="Times-Roman" w:cs="Times-Roman"/>
        </w:rPr>
        <w:t>Dotácia sa poskytuje v celých eurách bez desatinných miest po matematickom  zaokrúhlení sú</w:t>
      </w:r>
      <w:r>
        <w:rPr>
          <w:rFonts w:ascii="TTE19BB788t00" w:hAnsi="TTE19BB788t00" w:cs="TTE19BB788t00"/>
        </w:rPr>
        <w:t>č</w:t>
      </w:r>
      <w:r>
        <w:rPr>
          <w:rFonts w:ascii="Times-Roman" w:hAnsi="Times-Roman" w:cs="Times-Roman"/>
        </w:rPr>
        <w:t>inu a bude poskytovaná mesa</w:t>
      </w:r>
      <w:r>
        <w:rPr>
          <w:rFonts w:ascii="TTE19BB788t00" w:hAnsi="TTE19BB788t00" w:cs="TTE19BB788t00"/>
        </w:rPr>
        <w:t>č</w:t>
      </w:r>
      <w:r>
        <w:rPr>
          <w:rFonts w:ascii="Times-Roman" w:hAnsi="Times-Roman" w:cs="Times-Roman"/>
        </w:rPr>
        <w:t>ne spravidla vo výške jednej dvanástiny z ro</w:t>
      </w:r>
      <w:r>
        <w:rPr>
          <w:rFonts w:ascii="TTE19BB788t00" w:hAnsi="TTE19BB788t00" w:cs="TTE19BB788t00"/>
        </w:rPr>
        <w:t>č</w:t>
      </w:r>
      <w:r>
        <w:rPr>
          <w:rFonts w:ascii="Times-Roman" w:hAnsi="Times-Roman" w:cs="Times-Roman"/>
        </w:rPr>
        <w:t xml:space="preserve">nej výšky. </w:t>
      </w:r>
    </w:p>
    <w:p w:rsidR="00992C19" w:rsidRDefault="00992C19" w:rsidP="00992C19">
      <w:pPr>
        <w:autoSpaceDE w:val="0"/>
        <w:autoSpaceDN w:val="0"/>
        <w:adjustRightInd w:val="0"/>
        <w:jc w:val="both"/>
        <w:rPr>
          <w:rFonts w:ascii="Times-Roman" w:hAnsi="Times-Roman" w:cs="Times-Roman"/>
        </w:rPr>
      </w:pPr>
    </w:p>
    <w:p w:rsidR="00992C19" w:rsidRDefault="00992C19" w:rsidP="00992C19">
      <w:pPr>
        <w:numPr>
          <w:ilvl w:val="0"/>
          <w:numId w:val="6"/>
        </w:numPr>
        <w:autoSpaceDE w:val="0"/>
        <w:autoSpaceDN w:val="0"/>
        <w:adjustRightInd w:val="0"/>
        <w:spacing w:after="0" w:line="240" w:lineRule="auto"/>
        <w:ind w:left="0" w:right="0" w:firstLine="0"/>
        <w:contextualSpacing/>
        <w:jc w:val="both"/>
        <w:rPr>
          <w:rFonts w:eastAsiaTheme="minorHAnsi"/>
          <w:lang w:eastAsia="en-US"/>
        </w:rPr>
      </w:pPr>
      <w:r>
        <w:rPr>
          <w:rFonts w:eastAsiaTheme="minorHAnsi"/>
          <w:lang w:eastAsia="en-US"/>
        </w:rPr>
        <w:t>V prípade, že dotácia nebude vyčerpaná do 31.12. príslušného kalendárneho roku, je prijímateľ povinný nevyčerpanú časť dotácie vrátiť späť na účet Mesta Stará Turá do 31.12. príslušného kalendárneho roku.</w:t>
      </w:r>
    </w:p>
    <w:p w:rsidR="00992C19" w:rsidRDefault="00992C19" w:rsidP="00992C19">
      <w:pPr>
        <w:outlineLvl w:val="0"/>
        <w:rPr>
          <w:b/>
          <w:bCs/>
        </w:rPr>
      </w:pPr>
    </w:p>
    <w:p w:rsidR="00992C19" w:rsidRDefault="00992C19" w:rsidP="00992C19">
      <w:pPr>
        <w:jc w:val="center"/>
        <w:outlineLvl w:val="0"/>
        <w:rPr>
          <w:b/>
          <w:bCs/>
        </w:rPr>
      </w:pPr>
    </w:p>
    <w:p w:rsidR="00992C19" w:rsidRDefault="00992C19" w:rsidP="00992C19">
      <w:pPr>
        <w:jc w:val="center"/>
        <w:outlineLvl w:val="0"/>
        <w:rPr>
          <w:b/>
          <w:bCs/>
        </w:rPr>
      </w:pPr>
      <w:r>
        <w:rPr>
          <w:b/>
          <w:bCs/>
        </w:rPr>
        <w:t>§ 6</w:t>
      </w:r>
    </w:p>
    <w:p w:rsidR="00992C19" w:rsidRDefault="00992C19" w:rsidP="00992C19">
      <w:pPr>
        <w:jc w:val="center"/>
        <w:rPr>
          <w:b/>
          <w:bCs/>
        </w:rPr>
      </w:pPr>
      <w:r>
        <w:rPr>
          <w:b/>
          <w:bCs/>
        </w:rPr>
        <w:t>Termín a spôsob poskytovania dotácie</w:t>
      </w:r>
    </w:p>
    <w:p w:rsidR="00992C19" w:rsidRDefault="00992C19" w:rsidP="00992C19">
      <w:pPr>
        <w:rPr>
          <w:rFonts w:eastAsiaTheme="minorHAnsi"/>
          <w:lang w:eastAsia="en-US"/>
        </w:rPr>
      </w:pPr>
    </w:p>
    <w:p w:rsidR="00992C19" w:rsidRDefault="00992C19" w:rsidP="00992C19">
      <w:pPr>
        <w:pStyle w:val="Odsekzoznamu"/>
        <w:numPr>
          <w:ilvl w:val="0"/>
          <w:numId w:val="7"/>
        </w:numPr>
        <w:ind w:left="0" w:firstLine="0"/>
        <w:jc w:val="both"/>
        <w:rPr>
          <w:rFonts w:eastAsiaTheme="minorHAnsi"/>
          <w:lang w:eastAsia="en-US"/>
        </w:rPr>
      </w:pPr>
      <w:r>
        <w:rPr>
          <w:rFonts w:eastAsiaTheme="minorHAnsi"/>
          <w:lang w:eastAsia="en-US"/>
        </w:rPr>
        <w:t xml:space="preserve"> Mesto Stará Turá poskytne príjemcovi podľa § 4 nariadenia dotáciu mesačne  - spravidla </w:t>
      </w:r>
      <w:r>
        <w:rPr>
          <w:rFonts w:eastAsiaTheme="minorHAnsi"/>
          <w:iCs/>
          <w:lang w:eastAsia="en-US"/>
        </w:rPr>
        <w:t xml:space="preserve">vo výške jednej dvanástiny z dotácie na príslušný kalendárny rok - najneskôr </w:t>
      </w:r>
      <w:r>
        <w:rPr>
          <w:rFonts w:eastAsiaTheme="minorHAnsi"/>
          <w:lang w:eastAsia="en-US"/>
        </w:rPr>
        <w:t>do 15. dňa príslušného mesiaca.</w:t>
      </w:r>
    </w:p>
    <w:p w:rsidR="00992C19" w:rsidRDefault="00992C19" w:rsidP="00992C19">
      <w:pPr>
        <w:ind w:left="709" w:right="101" w:hanging="709"/>
        <w:jc w:val="both"/>
        <w:rPr>
          <w:rFonts w:eastAsia="Calibri"/>
          <w:color w:val="FF0000"/>
          <w:lang w:eastAsia="en-US"/>
        </w:rPr>
      </w:pPr>
    </w:p>
    <w:p w:rsidR="00992C19" w:rsidRDefault="00992C19" w:rsidP="00992C19">
      <w:pPr>
        <w:ind w:left="-142" w:right="101"/>
        <w:jc w:val="both"/>
        <w:rPr>
          <w:rFonts w:eastAsia="Calibri"/>
          <w:lang w:eastAsia="en-US"/>
        </w:rPr>
      </w:pPr>
      <w:r>
        <w:rPr>
          <w:rFonts w:eastAsia="Calibri"/>
          <w:lang w:eastAsia="en-US"/>
        </w:rPr>
        <w:t xml:space="preserve">(2)       Mesto Stará Turá môže poskytnúť príjemcovi podľa § 4   nariadenia   mimoriadnu dotáciu  na prevádzku v kat. 630 – Tovary a služby na základe písomnej žiadosti riaditeľa školského subjektu a v súlade so schváleným rozpočtom.  </w:t>
      </w:r>
    </w:p>
    <w:p w:rsidR="00992C19" w:rsidRDefault="00992C19" w:rsidP="00992C19">
      <w:pPr>
        <w:ind w:left="180" w:right="101" w:hanging="180"/>
        <w:jc w:val="both"/>
        <w:rPr>
          <w:rFonts w:eastAsia="Calibri"/>
          <w:lang w:eastAsia="en-US"/>
        </w:rPr>
      </w:pPr>
    </w:p>
    <w:p w:rsidR="00992C19" w:rsidRDefault="00992C19" w:rsidP="00992C19">
      <w:pPr>
        <w:autoSpaceDE w:val="0"/>
        <w:autoSpaceDN w:val="0"/>
        <w:adjustRightInd w:val="0"/>
        <w:ind w:left="3552" w:firstLine="696"/>
        <w:outlineLvl w:val="0"/>
        <w:rPr>
          <w:rFonts w:eastAsia="Calibri"/>
          <w:b/>
          <w:bCs/>
          <w:lang w:eastAsia="en-US"/>
        </w:rPr>
      </w:pPr>
      <w:r>
        <w:rPr>
          <w:rFonts w:eastAsia="Calibri"/>
          <w:b/>
          <w:bCs/>
          <w:lang w:eastAsia="en-US"/>
        </w:rPr>
        <w:t xml:space="preserve"> </w:t>
      </w:r>
    </w:p>
    <w:p w:rsidR="00992C19" w:rsidRDefault="00992C19" w:rsidP="00992C19">
      <w:pPr>
        <w:autoSpaceDE w:val="0"/>
        <w:autoSpaceDN w:val="0"/>
        <w:adjustRightInd w:val="0"/>
        <w:ind w:left="3552" w:firstLine="696"/>
        <w:outlineLvl w:val="0"/>
        <w:rPr>
          <w:rFonts w:eastAsia="Calibri"/>
          <w:b/>
          <w:bCs/>
          <w:lang w:eastAsia="en-US"/>
        </w:rPr>
      </w:pPr>
    </w:p>
    <w:p w:rsidR="00992C19" w:rsidRDefault="00992C19" w:rsidP="00992C19">
      <w:pPr>
        <w:autoSpaceDE w:val="0"/>
        <w:autoSpaceDN w:val="0"/>
        <w:adjustRightInd w:val="0"/>
        <w:ind w:left="3552" w:firstLine="696"/>
        <w:outlineLvl w:val="0"/>
        <w:rPr>
          <w:rFonts w:eastAsia="Calibri"/>
          <w:b/>
          <w:bCs/>
          <w:lang w:eastAsia="en-US"/>
        </w:rPr>
      </w:pPr>
      <w:r>
        <w:rPr>
          <w:b/>
          <w:bCs/>
        </w:rPr>
        <w:lastRenderedPageBreak/>
        <w:t xml:space="preserve">§ </w:t>
      </w:r>
      <w:r>
        <w:rPr>
          <w:rFonts w:eastAsia="Calibri"/>
          <w:b/>
          <w:bCs/>
          <w:lang w:eastAsia="en-US"/>
        </w:rPr>
        <w:t>7</w:t>
      </w:r>
    </w:p>
    <w:p w:rsidR="00992C19" w:rsidRDefault="00992C19" w:rsidP="00992C19">
      <w:pPr>
        <w:autoSpaceDE w:val="0"/>
        <w:autoSpaceDN w:val="0"/>
        <w:adjustRightInd w:val="0"/>
        <w:jc w:val="center"/>
        <w:outlineLvl w:val="0"/>
        <w:rPr>
          <w:b/>
          <w:bCs/>
        </w:rPr>
      </w:pPr>
      <w:r>
        <w:rPr>
          <w:b/>
          <w:bCs/>
        </w:rPr>
        <w:t>Použitie dotácie</w:t>
      </w:r>
    </w:p>
    <w:p w:rsidR="00992C19" w:rsidRDefault="00992C19" w:rsidP="00992C19">
      <w:pPr>
        <w:autoSpaceDE w:val="0"/>
        <w:autoSpaceDN w:val="0"/>
        <w:adjustRightInd w:val="0"/>
        <w:jc w:val="both"/>
        <w:rPr>
          <w:rFonts w:eastAsiaTheme="minorHAnsi"/>
          <w:lang w:eastAsia="en-US"/>
        </w:rPr>
      </w:pPr>
    </w:p>
    <w:p w:rsidR="00992C19" w:rsidRDefault="00992C19" w:rsidP="00992C19">
      <w:pPr>
        <w:autoSpaceDE w:val="0"/>
        <w:autoSpaceDN w:val="0"/>
        <w:adjustRightInd w:val="0"/>
        <w:jc w:val="both"/>
        <w:rPr>
          <w:rFonts w:eastAsiaTheme="minorHAnsi"/>
          <w:lang w:eastAsia="en-US"/>
        </w:rPr>
      </w:pPr>
      <w:r>
        <w:rPr>
          <w:rFonts w:eastAsiaTheme="minorHAnsi"/>
          <w:lang w:eastAsia="en-US"/>
        </w:rPr>
        <w:t>Prijímateľ dotácie podľa § 4 nariadenia je oprávnený použiť dotáciu len na úhradu osobných a prevádzkových nákladov MŠ, ŠKD, ŠJ, ZUŠ, CVČ a pri jej použití musí zabezpečiť hospodárnosť, efektívnosť a účinnosť jej použitia.</w:t>
      </w:r>
    </w:p>
    <w:p w:rsidR="00992C19" w:rsidRDefault="00992C19" w:rsidP="00992C19">
      <w:pPr>
        <w:autoSpaceDE w:val="0"/>
        <w:autoSpaceDN w:val="0"/>
        <w:adjustRightInd w:val="0"/>
        <w:spacing w:after="120" w:line="280" w:lineRule="atLeast"/>
        <w:outlineLvl w:val="0"/>
        <w:rPr>
          <w:b/>
          <w:bCs/>
          <w:caps/>
          <w:lang w:eastAsia="cs-CZ"/>
        </w:rPr>
      </w:pPr>
    </w:p>
    <w:p w:rsidR="00992C19" w:rsidRDefault="00992C19" w:rsidP="00992C19">
      <w:pPr>
        <w:autoSpaceDE w:val="0"/>
        <w:autoSpaceDN w:val="0"/>
        <w:adjustRightInd w:val="0"/>
        <w:spacing w:after="120" w:line="280" w:lineRule="atLeast"/>
        <w:outlineLvl w:val="0"/>
        <w:rPr>
          <w:b/>
          <w:bCs/>
          <w:caps/>
          <w:lang w:eastAsia="cs-CZ"/>
        </w:rPr>
      </w:pPr>
    </w:p>
    <w:p w:rsidR="00040EBC" w:rsidRDefault="00040EBC" w:rsidP="00040EBC">
      <w:pPr>
        <w:rPr>
          <w:i/>
        </w:rPr>
      </w:pPr>
      <w:r>
        <w:rPr>
          <w:i/>
        </w:rPr>
        <w:t>„Príloha č. 1</w:t>
      </w:r>
    </w:p>
    <w:p w:rsidR="00040EBC" w:rsidRDefault="00040EBC" w:rsidP="00040EBC">
      <w:r>
        <w:t xml:space="preserve"> </w:t>
      </w:r>
    </w:p>
    <w:p w:rsidR="00040EBC" w:rsidRDefault="00040EBC" w:rsidP="00040EBC">
      <w:pPr>
        <w:jc w:val="both"/>
      </w:pPr>
      <w:r>
        <w:t>Určenie výšky dotácie na prevádzku a mzdy na žiaka  základnej umeleckej školy, dieťa materskej školy a dieťa školského zariadenia od 1.4.2020.</w:t>
      </w:r>
    </w:p>
    <w:p w:rsidR="00040EBC" w:rsidRDefault="00040EBC" w:rsidP="00040EBC">
      <w:pPr>
        <w:jc w:val="both"/>
      </w:pPr>
    </w:p>
    <w:tbl>
      <w:tblPr>
        <w:tblStyle w:val="Mriekatabuky"/>
        <w:tblW w:w="8926" w:type="dxa"/>
        <w:tblInd w:w="0" w:type="dxa"/>
        <w:tblLook w:val="04A0" w:firstRow="1" w:lastRow="0" w:firstColumn="1" w:lastColumn="0" w:noHBand="0" w:noVBand="1"/>
      </w:tblPr>
      <w:tblGrid>
        <w:gridCol w:w="5665"/>
        <w:gridCol w:w="3261"/>
      </w:tblGrid>
      <w:tr w:rsidR="00040EBC" w:rsidTr="00040EBC">
        <w:trPr>
          <w:trHeight w:val="680"/>
        </w:trPr>
        <w:tc>
          <w:tcPr>
            <w:tcW w:w="5665" w:type="dxa"/>
            <w:tcBorders>
              <w:top w:val="single" w:sz="4" w:space="0" w:color="auto"/>
              <w:left w:val="single" w:sz="4" w:space="0" w:color="auto"/>
              <w:bottom w:val="single" w:sz="4" w:space="0" w:color="auto"/>
              <w:right w:val="single" w:sz="4" w:space="0" w:color="auto"/>
            </w:tcBorders>
            <w:hideMark/>
          </w:tcPr>
          <w:p w:rsidR="00040EBC" w:rsidRDefault="00040EBC">
            <w:pPr>
              <w:rPr>
                <w:lang w:eastAsia="en-US"/>
              </w:rPr>
            </w:pPr>
            <w:r>
              <w:rPr>
                <w:lang w:eastAsia="en-US"/>
              </w:rPr>
              <w:t>Školy a školské zariadenia zriadené mestom Stará Turá</w:t>
            </w:r>
          </w:p>
        </w:tc>
        <w:tc>
          <w:tcPr>
            <w:tcW w:w="3261" w:type="dxa"/>
            <w:tcBorders>
              <w:top w:val="single" w:sz="4" w:space="0" w:color="auto"/>
              <w:left w:val="single" w:sz="4" w:space="0" w:color="auto"/>
              <w:bottom w:val="single" w:sz="4" w:space="0" w:color="auto"/>
              <w:right w:val="single" w:sz="4" w:space="0" w:color="auto"/>
            </w:tcBorders>
            <w:hideMark/>
          </w:tcPr>
          <w:p w:rsidR="00040EBC" w:rsidRDefault="00040EBC">
            <w:pPr>
              <w:jc w:val="center"/>
              <w:rPr>
                <w:b/>
                <w:lang w:eastAsia="en-US"/>
              </w:rPr>
            </w:pPr>
            <w:r>
              <w:rPr>
                <w:b/>
                <w:lang w:eastAsia="en-US"/>
              </w:rPr>
              <w:t>Dotácia na mzdy  a prevádzku na žiaka (dieťa) od 1.4.2020</w:t>
            </w:r>
          </w:p>
          <w:p w:rsidR="00040EBC" w:rsidRDefault="00040EBC">
            <w:pPr>
              <w:jc w:val="center"/>
              <w:rPr>
                <w:b/>
                <w:lang w:eastAsia="en-US"/>
              </w:rPr>
            </w:pPr>
            <w:r>
              <w:rPr>
                <w:b/>
                <w:lang w:eastAsia="en-US"/>
              </w:rPr>
              <w:t>v  eurách</w:t>
            </w:r>
          </w:p>
        </w:tc>
      </w:tr>
      <w:tr w:rsidR="00040EBC" w:rsidTr="00040EBC">
        <w:trPr>
          <w:trHeight w:val="336"/>
        </w:trPr>
        <w:tc>
          <w:tcPr>
            <w:tcW w:w="5665" w:type="dxa"/>
            <w:tcBorders>
              <w:top w:val="single" w:sz="4" w:space="0" w:color="auto"/>
              <w:left w:val="single" w:sz="4" w:space="0" w:color="auto"/>
              <w:bottom w:val="single" w:sz="4" w:space="0" w:color="auto"/>
              <w:right w:val="single" w:sz="4" w:space="0" w:color="auto"/>
            </w:tcBorders>
            <w:vAlign w:val="bottom"/>
            <w:hideMark/>
          </w:tcPr>
          <w:p w:rsidR="00040EBC" w:rsidRDefault="00040EBC">
            <w:pPr>
              <w:spacing w:line="252" w:lineRule="auto"/>
              <w:rPr>
                <w:color w:val="000000" w:themeColor="text1"/>
                <w:lang w:eastAsia="en-US"/>
              </w:rPr>
            </w:pPr>
            <w:r>
              <w:rPr>
                <w:color w:val="000000" w:themeColor="text1"/>
                <w:lang w:eastAsia="en-US"/>
              </w:rPr>
              <w:t xml:space="preserve">                                                    </w:t>
            </w:r>
          </w:p>
          <w:p w:rsidR="00040EBC" w:rsidRDefault="00040EBC">
            <w:pPr>
              <w:spacing w:line="252" w:lineRule="auto"/>
              <w:rPr>
                <w:color w:val="000000" w:themeColor="text1"/>
                <w:lang w:eastAsia="en-US"/>
              </w:rPr>
            </w:pPr>
            <w:r>
              <w:rPr>
                <w:color w:val="000000" w:themeColor="text1"/>
                <w:lang w:eastAsia="en-US"/>
              </w:rPr>
              <w:t>Základná umelecká škola individuálna forma</w:t>
            </w:r>
          </w:p>
        </w:tc>
        <w:tc>
          <w:tcPr>
            <w:tcW w:w="3261" w:type="dxa"/>
            <w:tcBorders>
              <w:top w:val="single" w:sz="4" w:space="0" w:color="auto"/>
              <w:left w:val="single" w:sz="4" w:space="0" w:color="auto"/>
              <w:bottom w:val="single" w:sz="4" w:space="0" w:color="auto"/>
              <w:right w:val="single" w:sz="4" w:space="0" w:color="auto"/>
            </w:tcBorders>
            <w:hideMark/>
          </w:tcPr>
          <w:p w:rsidR="00040EBC" w:rsidRDefault="00040EBC">
            <w:pPr>
              <w:rPr>
                <w:b/>
                <w:lang w:eastAsia="en-US"/>
              </w:rPr>
            </w:pPr>
            <w:r>
              <w:rPr>
                <w:b/>
                <w:lang w:eastAsia="en-US"/>
              </w:rPr>
              <w:t>1 583</w:t>
            </w:r>
          </w:p>
        </w:tc>
      </w:tr>
      <w:tr w:rsidR="00040EBC" w:rsidTr="00040EBC">
        <w:trPr>
          <w:trHeight w:val="444"/>
        </w:trPr>
        <w:tc>
          <w:tcPr>
            <w:tcW w:w="5665" w:type="dxa"/>
            <w:tcBorders>
              <w:top w:val="single" w:sz="4" w:space="0" w:color="auto"/>
              <w:left w:val="single" w:sz="4" w:space="0" w:color="auto"/>
              <w:bottom w:val="single" w:sz="4" w:space="0" w:color="auto"/>
              <w:right w:val="single" w:sz="4" w:space="0" w:color="auto"/>
            </w:tcBorders>
            <w:vAlign w:val="bottom"/>
            <w:hideMark/>
          </w:tcPr>
          <w:p w:rsidR="00040EBC" w:rsidRDefault="00040EBC">
            <w:pPr>
              <w:spacing w:line="252" w:lineRule="auto"/>
              <w:rPr>
                <w:color w:val="000000" w:themeColor="text1"/>
                <w:lang w:eastAsia="en-US"/>
              </w:rPr>
            </w:pPr>
            <w:r>
              <w:rPr>
                <w:color w:val="000000" w:themeColor="text1"/>
                <w:lang w:eastAsia="en-US"/>
              </w:rPr>
              <w:t>Základná umelecká škola skupinová forma</w:t>
            </w:r>
          </w:p>
        </w:tc>
        <w:tc>
          <w:tcPr>
            <w:tcW w:w="3261" w:type="dxa"/>
            <w:tcBorders>
              <w:top w:val="single" w:sz="4" w:space="0" w:color="auto"/>
              <w:left w:val="single" w:sz="4" w:space="0" w:color="auto"/>
              <w:bottom w:val="single" w:sz="4" w:space="0" w:color="auto"/>
              <w:right w:val="single" w:sz="4" w:space="0" w:color="auto"/>
            </w:tcBorders>
            <w:hideMark/>
          </w:tcPr>
          <w:p w:rsidR="00040EBC" w:rsidRDefault="00040EBC">
            <w:pPr>
              <w:rPr>
                <w:b/>
                <w:lang w:eastAsia="en-US"/>
              </w:rPr>
            </w:pPr>
            <w:r>
              <w:rPr>
                <w:b/>
                <w:lang w:eastAsia="en-US"/>
              </w:rPr>
              <w:t>514</w:t>
            </w:r>
          </w:p>
        </w:tc>
      </w:tr>
      <w:tr w:rsidR="00040EBC" w:rsidTr="00040EBC">
        <w:trPr>
          <w:trHeight w:val="550"/>
        </w:trPr>
        <w:tc>
          <w:tcPr>
            <w:tcW w:w="5665" w:type="dxa"/>
            <w:tcBorders>
              <w:top w:val="single" w:sz="4" w:space="0" w:color="auto"/>
              <w:left w:val="single" w:sz="4" w:space="0" w:color="auto"/>
              <w:bottom w:val="single" w:sz="4" w:space="0" w:color="auto"/>
              <w:right w:val="single" w:sz="4" w:space="0" w:color="auto"/>
            </w:tcBorders>
            <w:vAlign w:val="bottom"/>
            <w:hideMark/>
          </w:tcPr>
          <w:p w:rsidR="00040EBC" w:rsidRDefault="00040EBC">
            <w:pPr>
              <w:spacing w:line="252" w:lineRule="auto"/>
              <w:rPr>
                <w:color w:val="000000" w:themeColor="text1"/>
                <w:lang w:eastAsia="en-US"/>
              </w:rPr>
            </w:pPr>
            <w:r>
              <w:rPr>
                <w:color w:val="000000" w:themeColor="text1"/>
                <w:lang w:eastAsia="en-US"/>
              </w:rPr>
              <w:t>ZUŠ-spolu</w:t>
            </w:r>
          </w:p>
        </w:tc>
        <w:tc>
          <w:tcPr>
            <w:tcW w:w="3261" w:type="dxa"/>
            <w:tcBorders>
              <w:top w:val="single" w:sz="4" w:space="0" w:color="auto"/>
              <w:left w:val="single" w:sz="4" w:space="0" w:color="auto"/>
              <w:bottom w:val="single" w:sz="4" w:space="0" w:color="auto"/>
              <w:right w:val="single" w:sz="4" w:space="0" w:color="auto"/>
            </w:tcBorders>
            <w:hideMark/>
          </w:tcPr>
          <w:p w:rsidR="00040EBC" w:rsidRDefault="00040EBC">
            <w:pPr>
              <w:rPr>
                <w:b/>
                <w:lang w:eastAsia="en-US"/>
              </w:rPr>
            </w:pPr>
            <w:r>
              <w:rPr>
                <w:b/>
                <w:lang w:eastAsia="en-US"/>
              </w:rPr>
              <w:t>919</w:t>
            </w:r>
          </w:p>
        </w:tc>
      </w:tr>
      <w:tr w:rsidR="00040EBC" w:rsidTr="00040EBC">
        <w:trPr>
          <w:trHeight w:val="416"/>
        </w:trPr>
        <w:tc>
          <w:tcPr>
            <w:tcW w:w="5665" w:type="dxa"/>
            <w:tcBorders>
              <w:top w:val="single" w:sz="4" w:space="0" w:color="auto"/>
              <w:left w:val="single" w:sz="4" w:space="0" w:color="auto"/>
              <w:bottom w:val="single" w:sz="4" w:space="0" w:color="auto"/>
              <w:right w:val="single" w:sz="4" w:space="0" w:color="auto"/>
            </w:tcBorders>
            <w:vAlign w:val="bottom"/>
            <w:hideMark/>
          </w:tcPr>
          <w:p w:rsidR="00040EBC" w:rsidRDefault="00040EBC">
            <w:pPr>
              <w:spacing w:line="252" w:lineRule="auto"/>
              <w:rPr>
                <w:color w:val="000000" w:themeColor="text1"/>
                <w:lang w:eastAsia="en-US"/>
              </w:rPr>
            </w:pPr>
            <w:r>
              <w:rPr>
                <w:color w:val="000000" w:themeColor="text1"/>
                <w:lang w:eastAsia="en-US"/>
              </w:rPr>
              <w:t>Materská škola</w:t>
            </w:r>
          </w:p>
        </w:tc>
        <w:tc>
          <w:tcPr>
            <w:tcW w:w="3261" w:type="dxa"/>
            <w:tcBorders>
              <w:top w:val="single" w:sz="4" w:space="0" w:color="auto"/>
              <w:left w:val="single" w:sz="4" w:space="0" w:color="auto"/>
              <w:bottom w:val="single" w:sz="4" w:space="0" w:color="auto"/>
              <w:right w:val="single" w:sz="4" w:space="0" w:color="auto"/>
            </w:tcBorders>
            <w:hideMark/>
          </w:tcPr>
          <w:p w:rsidR="00040EBC" w:rsidRDefault="00040EBC">
            <w:pPr>
              <w:rPr>
                <w:b/>
                <w:lang w:eastAsia="en-US"/>
              </w:rPr>
            </w:pPr>
            <w:r>
              <w:rPr>
                <w:b/>
                <w:lang w:eastAsia="en-US"/>
              </w:rPr>
              <w:t>3 016</w:t>
            </w:r>
          </w:p>
        </w:tc>
      </w:tr>
      <w:tr w:rsidR="00040EBC" w:rsidTr="00040EBC">
        <w:trPr>
          <w:trHeight w:val="280"/>
        </w:trPr>
        <w:tc>
          <w:tcPr>
            <w:tcW w:w="5665" w:type="dxa"/>
            <w:tcBorders>
              <w:top w:val="single" w:sz="4" w:space="0" w:color="auto"/>
              <w:left w:val="single" w:sz="4" w:space="0" w:color="auto"/>
              <w:bottom w:val="single" w:sz="4" w:space="0" w:color="auto"/>
              <w:right w:val="single" w:sz="4" w:space="0" w:color="auto"/>
            </w:tcBorders>
            <w:vAlign w:val="bottom"/>
          </w:tcPr>
          <w:p w:rsidR="00040EBC" w:rsidRDefault="00040EBC">
            <w:pPr>
              <w:spacing w:line="252" w:lineRule="auto"/>
              <w:rPr>
                <w:color w:val="000000" w:themeColor="text1"/>
                <w:lang w:eastAsia="en-US"/>
              </w:rPr>
            </w:pPr>
          </w:p>
          <w:p w:rsidR="00040EBC" w:rsidRDefault="00040EBC">
            <w:pPr>
              <w:spacing w:line="252" w:lineRule="auto"/>
              <w:rPr>
                <w:color w:val="000000" w:themeColor="text1"/>
                <w:lang w:eastAsia="en-US"/>
              </w:rPr>
            </w:pPr>
            <w:r>
              <w:rPr>
                <w:color w:val="000000" w:themeColor="text1"/>
                <w:lang w:eastAsia="en-US"/>
              </w:rPr>
              <w:t xml:space="preserve">Centrum voľného času </w:t>
            </w:r>
          </w:p>
        </w:tc>
        <w:tc>
          <w:tcPr>
            <w:tcW w:w="3261" w:type="dxa"/>
            <w:tcBorders>
              <w:top w:val="single" w:sz="4" w:space="0" w:color="auto"/>
              <w:left w:val="single" w:sz="4" w:space="0" w:color="auto"/>
              <w:bottom w:val="single" w:sz="4" w:space="0" w:color="auto"/>
              <w:right w:val="single" w:sz="4" w:space="0" w:color="auto"/>
            </w:tcBorders>
            <w:hideMark/>
          </w:tcPr>
          <w:p w:rsidR="00040EBC" w:rsidRDefault="00040EBC">
            <w:pPr>
              <w:rPr>
                <w:b/>
                <w:lang w:eastAsia="en-US"/>
              </w:rPr>
            </w:pPr>
            <w:r>
              <w:rPr>
                <w:b/>
                <w:lang w:eastAsia="en-US"/>
              </w:rPr>
              <w:t>118</w:t>
            </w:r>
          </w:p>
        </w:tc>
      </w:tr>
      <w:tr w:rsidR="00040EBC" w:rsidTr="00040EBC">
        <w:trPr>
          <w:trHeight w:val="246"/>
        </w:trPr>
        <w:tc>
          <w:tcPr>
            <w:tcW w:w="5665" w:type="dxa"/>
            <w:tcBorders>
              <w:top w:val="single" w:sz="4" w:space="0" w:color="auto"/>
              <w:left w:val="single" w:sz="4" w:space="0" w:color="auto"/>
              <w:bottom w:val="single" w:sz="4" w:space="0" w:color="auto"/>
              <w:right w:val="single" w:sz="4" w:space="0" w:color="auto"/>
            </w:tcBorders>
            <w:vAlign w:val="bottom"/>
            <w:hideMark/>
          </w:tcPr>
          <w:p w:rsidR="00040EBC" w:rsidRDefault="00040EBC">
            <w:pPr>
              <w:spacing w:line="252" w:lineRule="auto"/>
              <w:rPr>
                <w:color w:val="000000" w:themeColor="text1"/>
                <w:lang w:eastAsia="en-US"/>
              </w:rPr>
            </w:pPr>
            <w:r>
              <w:rPr>
                <w:color w:val="000000" w:themeColor="text1"/>
                <w:lang w:eastAsia="en-US"/>
              </w:rPr>
              <w:t xml:space="preserve"> </w:t>
            </w:r>
          </w:p>
          <w:p w:rsidR="00040EBC" w:rsidRDefault="00040EBC">
            <w:pPr>
              <w:spacing w:line="252" w:lineRule="auto"/>
              <w:rPr>
                <w:color w:val="000000" w:themeColor="text1"/>
                <w:lang w:eastAsia="en-US"/>
              </w:rPr>
            </w:pPr>
            <w:r>
              <w:rPr>
                <w:color w:val="000000" w:themeColor="text1"/>
                <w:lang w:eastAsia="en-US"/>
              </w:rPr>
              <w:t xml:space="preserve">Školský klub detí </w:t>
            </w:r>
          </w:p>
        </w:tc>
        <w:tc>
          <w:tcPr>
            <w:tcW w:w="3261" w:type="dxa"/>
            <w:tcBorders>
              <w:top w:val="single" w:sz="4" w:space="0" w:color="auto"/>
              <w:left w:val="single" w:sz="4" w:space="0" w:color="auto"/>
              <w:bottom w:val="single" w:sz="4" w:space="0" w:color="auto"/>
              <w:right w:val="single" w:sz="4" w:space="0" w:color="auto"/>
            </w:tcBorders>
            <w:hideMark/>
          </w:tcPr>
          <w:p w:rsidR="00040EBC" w:rsidRDefault="00040EBC">
            <w:pPr>
              <w:rPr>
                <w:b/>
                <w:lang w:eastAsia="en-US"/>
              </w:rPr>
            </w:pPr>
            <w:r>
              <w:rPr>
                <w:b/>
                <w:lang w:eastAsia="en-US"/>
              </w:rPr>
              <w:t>457</w:t>
            </w:r>
          </w:p>
        </w:tc>
      </w:tr>
      <w:tr w:rsidR="00040EBC" w:rsidTr="00040EBC">
        <w:trPr>
          <w:trHeight w:val="510"/>
        </w:trPr>
        <w:tc>
          <w:tcPr>
            <w:tcW w:w="5665" w:type="dxa"/>
            <w:tcBorders>
              <w:top w:val="single" w:sz="4" w:space="0" w:color="auto"/>
              <w:left w:val="single" w:sz="4" w:space="0" w:color="auto"/>
              <w:bottom w:val="single" w:sz="4" w:space="0" w:color="auto"/>
              <w:right w:val="single" w:sz="4" w:space="0" w:color="auto"/>
            </w:tcBorders>
            <w:vAlign w:val="bottom"/>
            <w:hideMark/>
          </w:tcPr>
          <w:p w:rsidR="00040EBC" w:rsidRDefault="00040EBC">
            <w:pPr>
              <w:spacing w:line="252" w:lineRule="auto"/>
              <w:rPr>
                <w:color w:val="000000" w:themeColor="text1"/>
                <w:lang w:eastAsia="en-US"/>
              </w:rPr>
            </w:pPr>
            <w:r>
              <w:rPr>
                <w:color w:val="000000" w:themeColor="text1"/>
                <w:lang w:eastAsia="en-US"/>
              </w:rPr>
              <w:t>Školská jedáleň pri ZŠ- 723ž.</w:t>
            </w:r>
          </w:p>
        </w:tc>
        <w:tc>
          <w:tcPr>
            <w:tcW w:w="3261" w:type="dxa"/>
            <w:tcBorders>
              <w:top w:val="single" w:sz="4" w:space="0" w:color="auto"/>
              <w:left w:val="single" w:sz="4" w:space="0" w:color="auto"/>
              <w:bottom w:val="single" w:sz="4" w:space="0" w:color="auto"/>
              <w:right w:val="single" w:sz="4" w:space="0" w:color="auto"/>
            </w:tcBorders>
            <w:hideMark/>
          </w:tcPr>
          <w:p w:rsidR="00040EBC" w:rsidRDefault="00040EBC">
            <w:pPr>
              <w:rPr>
                <w:b/>
                <w:lang w:eastAsia="en-US"/>
              </w:rPr>
            </w:pPr>
            <w:r>
              <w:rPr>
                <w:b/>
                <w:lang w:eastAsia="en-US"/>
              </w:rPr>
              <w:t>181</w:t>
            </w:r>
          </w:p>
        </w:tc>
      </w:tr>
    </w:tbl>
    <w:p w:rsidR="00040EBC" w:rsidRDefault="00040EBC" w:rsidP="00040EBC">
      <w:r>
        <w:t xml:space="preserve">                                                                                                 „</w:t>
      </w:r>
    </w:p>
    <w:p w:rsidR="00040EBC" w:rsidRDefault="00040EBC" w:rsidP="00040EBC"/>
    <w:p w:rsidR="00040EBC" w:rsidRDefault="00040EBC" w:rsidP="00040EBC">
      <w:pPr>
        <w:pStyle w:val="Default"/>
        <w:jc w:val="center"/>
        <w:rPr>
          <w:b/>
          <w:bCs/>
          <w:color w:val="auto"/>
        </w:rPr>
      </w:pPr>
      <w:r>
        <w:rPr>
          <w:b/>
          <w:bCs/>
          <w:color w:val="auto"/>
        </w:rPr>
        <w:t>Čl. II</w:t>
      </w:r>
    </w:p>
    <w:p w:rsidR="00040EBC" w:rsidRDefault="00040EBC" w:rsidP="00040EBC">
      <w:pPr>
        <w:pStyle w:val="Default"/>
        <w:jc w:val="center"/>
        <w:rPr>
          <w:b/>
          <w:bCs/>
          <w:color w:val="auto"/>
        </w:rPr>
      </w:pPr>
    </w:p>
    <w:p w:rsidR="00040EBC" w:rsidRDefault="00040EBC" w:rsidP="00040EBC">
      <w:pPr>
        <w:pStyle w:val="Default"/>
        <w:jc w:val="center"/>
        <w:rPr>
          <w:color w:val="auto"/>
        </w:rPr>
      </w:pPr>
    </w:p>
    <w:p w:rsidR="00040EBC" w:rsidRDefault="00040EBC" w:rsidP="00040EBC">
      <w:pPr>
        <w:pStyle w:val="Default"/>
        <w:spacing w:after="28"/>
        <w:jc w:val="both"/>
        <w:rPr>
          <w:color w:val="auto"/>
        </w:rPr>
      </w:pPr>
      <w:r>
        <w:rPr>
          <w:color w:val="auto"/>
        </w:rPr>
        <w:t>1. Toto nariadenie bolo schválené uznesením Mestského  zastupiteľstva m</w:t>
      </w:r>
      <w:r w:rsidR="005A0DD0">
        <w:rPr>
          <w:color w:val="auto"/>
        </w:rPr>
        <w:t xml:space="preserve">esta Stará Turá UZN č. 12-XIII/2020 </w:t>
      </w:r>
      <w:r>
        <w:rPr>
          <w:color w:val="auto"/>
        </w:rPr>
        <w:t xml:space="preserve">zo dňa 20. februára  2020. </w:t>
      </w:r>
    </w:p>
    <w:p w:rsidR="00040EBC" w:rsidRDefault="00040EBC" w:rsidP="00040EBC">
      <w:pPr>
        <w:autoSpaceDE w:val="0"/>
        <w:autoSpaceDN w:val="0"/>
        <w:adjustRightInd w:val="0"/>
        <w:spacing w:after="0" w:line="240" w:lineRule="auto"/>
        <w:ind w:right="0"/>
        <w:jc w:val="both"/>
        <w:rPr>
          <w:color w:val="auto"/>
          <w:lang w:eastAsia="cs-CZ"/>
        </w:rPr>
      </w:pPr>
      <w:r>
        <w:rPr>
          <w:color w:val="auto"/>
        </w:rPr>
        <w:t xml:space="preserve">2. Toto všeobecne záväzné nariadenie nadobúda účinnosť </w:t>
      </w:r>
      <w:r>
        <w:rPr>
          <w:color w:val="auto"/>
          <w:lang w:eastAsia="cs-CZ"/>
        </w:rPr>
        <w:t>01. apríla 2020.</w:t>
      </w:r>
    </w:p>
    <w:p w:rsidR="00040EBC" w:rsidRDefault="00040EBC" w:rsidP="00040EBC">
      <w:pPr>
        <w:pStyle w:val="Default"/>
        <w:jc w:val="both"/>
        <w:rPr>
          <w:color w:val="auto"/>
          <w:lang w:eastAsia="cs-CZ"/>
        </w:rPr>
      </w:pPr>
      <w:r>
        <w:rPr>
          <w:color w:val="auto"/>
          <w:lang w:eastAsia="cs-CZ"/>
        </w:rPr>
        <w:t xml:space="preserve">                                                                                          </w:t>
      </w:r>
    </w:p>
    <w:p w:rsidR="00040EBC" w:rsidRDefault="00040EBC" w:rsidP="00040EBC">
      <w:pPr>
        <w:tabs>
          <w:tab w:val="left" w:pos="360"/>
        </w:tabs>
        <w:autoSpaceDE w:val="0"/>
        <w:autoSpaceDN w:val="0"/>
        <w:adjustRightInd w:val="0"/>
        <w:spacing w:after="120" w:line="280" w:lineRule="atLeast"/>
        <w:ind w:left="360" w:hanging="360"/>
        <w:rPr>
          <w:color w:val="auto"/>
          <w:lang w:eastAsia="cs-CZ"/>
        </w:rPr>
      </w:pPr>
    </w:p>
    <w:p w:rsidR="00040EBC" w:rsidRPr="00992C19" w:rsidRDefault="00040EBC" w:rsidP="00992C19">
      <w:pPr>
        <w:tabs>
          <w:tab w:val="left" w:pos="360"/>
        </w:tabs>
        <w:autoSpaceDE w:val="0"/>
        <w:autoSpaceDN w:val="0"/>
        <w:adjustRightInd w:val="0"/>
        <w:spacing w:after="0" w:line="280" w:lineRule="atLeast"/>
        <w:ind w:left="360" w:hanging="360"/>
        <w:rPr>
          <w:color w:val="auto"/>
          <w:lang w:eastAsia="cs-CZ"/>
        </w:rPr>
      </w:pPr>
    </w:p>
    <w:p w:rsidR="00040EBC" w:rsidRPr="00992C19" w:rsidRDefault="00040EBC" w:rsidP="00992C19">
      <w:pPr>
        <w:tabs>
          <w:tab w:val="left" w:pos="360"/>
        </w:tabs>
        <w:autoSpaceDE w:val="0"/>
        <w:autoSpaceDN w:val="0"/>
        <w:adjustRightInd w:val="0"/>
        <w:spacing w:after="0" w:line="280" w:lineRule="atLeast"/>
        <w:ind w:left="360" w:hanging="360"/>
        <w:rPr>
          <w:color w:val="auto"/>
          <w:lang w:eastAsia="cs-CZ"/>
        </w:rPr>
      </w:pPr>
      <w:r w:rsidRPr="00992C19">
        <w:rPr>
          <w:color w:val="auto"/>
          <w:lang w:eastAsia="cs-CZ"/>
        </w:rPr>
        <w:t xml:space="preserve">                                                                                     PharmDr. Leopold Barszcz</w:t>
      </w:r>
    </w:p>
    <w:p w:rsidR="00040EBC" w:rsidRDefault="00040EBC" w:rsidP="00992C19">
      <w:pPr>
        <w:tabs>
          <w:tab w:val="left" w:pos="360"/>
        </w:tabs>
        <w:autoSpaceDE w:val="0"/>
        <w:autoSpaceDN w:val="0"/>
        <w:adjustRightInd w:val="0"/>
        <w:spacing w:after="0" w:line="280" w:lineRule="atLeast"/>
        <w:ind w:left="360" w:hanging="360"/>
        <w:rPr>
          <w:color w:val="auto"/>
          <w:lang w:eastAsia="cs-CZ"/>
        </w:rPr>
      </w:pPr>
      <w:r w:rsidRPr="00992C19">
        <w:rPr>
          <w:color w:val="auto"/>
          <w:lang w:eastAsia="cs-CZ"/>
        </w:rPr>
        <w:t xml:space="preserve">                                                                          </w:t>
      </w:r>
      <w:r w:rsidR="00992C19">
        <w:rPr>
          <w:color w:val="auto"/>
          <w:lang w:eastAsia="cs-CZ"/>
        </w:rPr>
        <w:t xml:space="preserve">              </w:t>
      </w:r>
      <w:r w:rsidR="005A0DD0">
        <w:rPr>
          <w:color w:val="auto"/>
          <w:lang w:eastAsia="cs-CZ"/>
        </w:rPr>
        <w:t xml:space="preserve">     </w:t>
      </w:r>
      <w:r w:rsidR="00992C19">
        <w:rPr>
          <w:color w:val="auto"/>
          <w:lang w:eastAsia="cs-CZ"/>
        </w:rPr>
        <w:t xml:space="preserve"> p</w:t>
      </w:r>
      <w:r w:rsidRPr="00992C19">
        <w:rPr>
          <w:color w:val="auto"/>
          <w:lang w:eastAsia="cs-CZ"/>
        </w:rPr>
        <w:t>rimátor</w:t>
      </w:r>
      <w:r w:rsidR="00992C19">
        <w:rPr>
          <w:color w:val="auto"/>
          <w:lang w:eastAsia="cs-CZ"/>
        </w:rPr>
        <w:t xml:space="preserve"> mesta</w:t>
      </w:r>
    </w:p>
    <w:p w:rsidR="005A0DD0" w:rsidRPr="00992C19" w:rsidRDefault="005A0DD0" w:rsidP="00992C19">
      <w:pPr>
        <w:tabs>
          <w:tab w:val="left" w:pos="360"/>
        </w:tabs>
        <w:autoSpaceDE w:val="0"/>
        <w:autoSpaceDN w:val="0"/>
        <w:adjustRightInd w:val="0"/>
        <w:spacing w:after="0" w:line="280" w:lineRule="atLeast"/>
        <w:ind w:left="360" w:hanging="360"/>
        <w:rPr>
          <w:color w:val="auto"/>
          <w:lang w:eastAsia="cs-CZ"/>
        </w:rPr>
      </w:pPr>
      <w:r>
        <w:rPr>
          <w:color w:val="auto"/>
          <w:lang w:eastAsia="cs-CZ"/>
        </w:rPr>
        <w:t>Vyvesené dňa: 26.02.2020</w:t>
      </w:r>
    </w:p>
    <w:p w:rsidR="00C614CD" w:rsidRDefault="00C614CD" w:rsidP="005A0DD0">
      <w:pPr>
        <w:ind w:left="0" w:firstLine="0"/>
      </w:pPr>
    </w:p>
    <w:sectPr w:rsidR="00C614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F71" w:rsidRDefault="00041F71" w:rsidP="00992C19">
      <w:pPr>
        <w:spacing w:after="0" w:line="240" w:lineRule="auto"/>
      </w:pPr>
      <w:r>
        <w:separator/>
      </w:r>
    </w:p>
  </w:endnote>
  <w:endnote w:type="continuationSeparator" w:id="0">
    <w:p w:rsidR="00041F71" w:rsidRDefault="00041F71" w:rsidP="00992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TE19BB788t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F71" w:rsidRDefault="00041F71" w:rsidP="00992C19">
      <w:pPr>
        <w:spacing w:after="0" w:line="240" w:lineRule="auto"/>
      </w:pPr>
      <w:r>
        <w:separator/>
      </w:r>
    </w:p>
  </w:footnote>
  <w:footnote w:type="continuationSeparator" w:id="0">
    <w:p w:rsidR="00041F71" w:rsidRDefault="00041F71" w:rsidP="00992C19">
      <w:pPr>
        <w:spacing w:after="0" w:line="240" w:lineRule="auto"/>
      </w:pPr>
      <w:r>
        <w:continuationSeparator/>
      </w:r>
    </w:p>
  </w:footnote>
  <w:footnote w:id="1">
    <w:p w:rsidR="00992C19" w:rsidRDefault="00992C19" w:rsidP="00992C19">
      <w:pPr>
        <w:pStyle w:val="Textpoznmkypodiarou"/>
      </w:pPr>
      <w:r>
        <w:rPr>
          <w:rStyle w:val="Odkaznapoznmkupodiarou"/>
        </w:rPr>
        <w:footnoteRef/>
      </w:r>
      <w:r>
        <w:t xml:space="preserve"> Nariadenie vlády Slovenskej republiky č. 668/2004 Z. z. o rozdelení výnosu dane z príjmov územnej samospráve v znení neskorších predpisov.</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475"/>
    <w:multiLevelType w:val="hybridMultilevel"/>
    <w:tmpl w:val="8E8C1EBE"/>
    <w:lvl w:ilvl="0" w:tplc="E458BA5C">
      <w:start w:val="1"/>
      <w:numFmt w:val="lowerLetter"/>
      <w:lvlText w:val="%1)"/>
      <w:lvlJc w:val="left"/>
      <w:pPr>
        <w:tabs>
          <w:tab w:val="num" w:pos="720"/>
        </w:tabs>
        <w:ind w:left="720" w:hanging="360"/>
      </w:pPr>
      <w:rPr>
        <w:b w:val="0"/>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65413"/>
    <w:multiLevelType w:val="hybridMultilevel"/>
    <w:tmpl w:val="D6A0753A"/>
    <w:lvl w:ilvl="0" w:tplc="821874BC">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F887AF5"/>
    <w:multiLevelType w:val="hybridMultilevel"/>
    <w:tmpl w:val="D8B2B180"/>
    <w:lvl w:ilvl="0" w:tplc="EA266D86">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B66512D"/>
    <w:multiLevelType w:val="hybridMultilevel"/>
    <w:tmpl w:val="8108B364"/>
    <w:lvl w:ilvl="0" w:tplc="B0006BEA">
      <w:start w:val="1"/>
      <w:numFmt w:val="lowerLetter"/>
      <w:lvlText w:val="%1)"/>
      <w:lvlJc w:val="left"/>
      <w:pPr>
        <w:tabs>
          <w:tab w:val="num" w:pos="720"/>
        </w:tabs>
        <w:ind w:left="720" w:hanging="360"/>
      </w:pPr>
      <w:rPr>
        <w:b w:val="0"/>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9E30F9"/>
    <w:multiLevelType w:val="hybridMultilevel"/>
    <w:tmpl w:val="AB60023A"/>
    <w:lvl w:ilvl="0" w:tplc="D9D2E1AA">
      <w:start w:val="1"/>
      <w:numFmt w:val="lowerLetter"/>
      <w:lvlText w:val="%1)"/>
      <w:lvlJc w:val="left"/>
      <w:pPr>
        <w:ind w:left="501" w:hanging="360"/>
      </w:pPr>
      <w:rPr>
        <w:b w:val="0"/>
        <w:color w:val="auto"/>
      </w:rPr>
    </w:lvl>
    <w:lvl w:ilvl="1" w:tplc="041B0019">
      <w:start w:val="1"/>
      <w:numFmt w:val="lowerLetter"/>
      <w:lvlText w:val="%2."/>
      <w:lvlJc w:val="left"/>
      <w:pPr>
        <w:ind w:left="1221" w:hanging="360"/>
      </w:pPr>
    </w:lvl>
    <w:lvl w:ilvl="2" w:tplc="041B001B">
      <w:start w:val="1"/>
      <w:numFmt w:val="lowerRoman"/>
      <w:lvlText w:val="%3."/>
      <w:lvlJc w:val="right"/>
      <w:pPr>
        <w:ind w:left="1941" w:hanging="180"/>
      </w:pPr>
    </w:lvl>
    <w:lvl w:ilvl="3" w:tplc="041B000F">
      <w:start w:val="1"/>
      <w:numFmt w:val="decimal"/>
      <w:lvlText w:val="%4."/>
      <w:lvlJc w:val="left"/>
      <w:pPr>
        <w:ind w:left="2661" w:hanging="360"/>
      </w:pPr>
    </w:lvl>
    <w:lvl w:ilvl="4" w:tplc="041B0019">
      <w:start w:val="1"/>
      <w:numFmt w:val="lowerLetter"/>
      <w:lvlText w:val="%5."/>
      <w:lvlJc w:val="left"/>
      <w:pPr>
        <w:ind w:left="3381" w:hanging="360"/>
      </w:pPr>
    </w:lvl>
    <w:lvl w:ilvl="5" w:tplc="041B001B">
      <w:start w:val="1"/>
      <w:numFmt w:val="lowerRoman"/>
      <w:lvlText w:val="%6."/>
      <w:lvlJc w:val="right"/>
      <w:pPr>
        <w:ind w:left="4101" w:hanging="180"/>
      </w:pPr>
    </w:lvl>
    <w:lvl w:ilvl="6" w:tplc="041B000F">
      <w:start w:val="1"/>
      <w:numFmt w:val="decimal"/>
      <w:lvlText w:val="%7."/>
      <w:lvlJc w:val="left"/>
      <w:pPr>
        <w:ind w:left="4821" w:hanging="360"/>
      </w:pPr>
    </w:lvl>
    <w:lvl w:ilvl="7" w:tplc="041B0019">
      <w:start w:val="1"/>
      <w:numFmt w:val="lowerLetter"/>
      <w:lvlText w:val="%8."/>
      <w:lvlJc w:val="left"/>
      <w:pPr>
        <w:ind w:left="5541" w:hanging="360"/>
      </w:pPr>
    </w:lvl>
    <w:lvl w:ilvl="8" w:tplc="041B001B">
      <w:start w:val="1"/>
      <w:numFmt w:val="lowerRoman"/>
      <w:lvlText w:val="%9."/>
      <w:lvlJc w:val="right"/>
      <w:pPr>
        <w:ind w:left="6261" w:hanging="180"/>
      </w:pPr>
    </w:lvl>
  </w:abstractNum>
  <w:abstractNum w:abstractNumId="5" w15:restartNumberingAfterBreak="0">
    <w:nsid w:val="709F48C4"/>
    <w:multiLevelType w:val="hybridMultilevel"/>
    <w:tmpl w:val="6C4405EE"/>
    <w:lvl w:ilvl="0" w:tplc="572236AA">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795B737B"/>
    <w:multiLevelType w:val="hybridMultilevel"/>
    <w:tmpl w:val="2DB281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EBC"/>
    <w:rsid w:val="00040EBC"/>
    <w:rsid w:val="00041F71"/>
    <w:rsid w:val="00571DF7"/>
    <w:rsid w:val="005A0DD0"/>
    <w:rsid w:val="006638AF"/>
    <w:rsid w:val="00992C19"/>
    <w:rsid w:val="00AE48D2"/>
    <w:rsid w:val="00BD697D"/>
    <w:rsid w:val="00C614CD"/>
    <w:rsid w:val="00E914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4A164-078B-4EFE-AF89-DBBADFE4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40EBC"/>
    <w:pPr>
      <w:spacing w:after="5" w:line="264" w:lineRule="auto"/>
      <w:ind w:left="10" w:right="62" w:hanging="10"/>
    </w:pPr>
    <w:rPr>
      <w:rFonts w:ascii="Times New Roman" w:eastAsia="Times New Roman" w:hAnsi="Times New Roman" w:cs="Times New Roman"/>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040EBC"/>
    <w:pPr>
      <w:autoSpaceDE w:val="0"/>
      <w:autoSpaceDN w:val="0"/>
      <w:adjustRightInd w:val="0"/>
      <w:spacing w:after="0" w:line="240" w:lineRule="auto"/>
    </w:pPr>
    <w:rPr>
      <w:rFonts w:ascii="Times New Roman" w:hAnsi="Times New Roman" w:cs="Times New Roman"/>
      <w:color w:val="000000"/>
      <w:sz w:val="24"/>
      <w:szCs w:val="24"/>
    </w:rPr>
  </w:style>
  <w:style w:type="table" w:styleId="Mriekatabuky">
    <w:name w:val="Table Grid"/>
    <w:basedOn w:val="Normlnatabuka"/>
    <w:uiPriority w:val="39"/>
    <w:rsid w:val="00040EBC"/>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992C19"/>
    <w:pPr>
      <w:spacing w:after="0" w:line="240" w:lineRule="auto"/>
      <w:ind w:left="0" w:right="0" w:firstLine="0"/>
    </w:pPr>
    <w:rPr>
      <w:color w:val="auto"/>
      <w:sz w:val="20"/>
      <w:szCs w:val="20"/>
    </w:rPr>
  </w:style>
  <w:style w:type="character" w:customStyle="1" w:styleId="TextpoznmkypodiarouChar">
    <w:name w:val="Text poznámky pod čiarou Char"/>
    <w:basedOn w:val="Predvolenpsmoodseku"/>
    <w:link w:val="Textpoznmkypodiarou"/>
    <w:uiPriority w:val="99"/>
    <w:semiHidden/>
    <w:rsid w:val="00992C19"/>
    <w:rPr>
      <w:rFonts w:ascii="Times New Roman" w:eastAsia="Times New Roman" w:hAnsi="Times New Roman" w:cs="Times New Roman"/>
      <w:sz w:val="20"/>
      <w:szCs w:val="20"/>
      <w:lang w:eastAsia="sk-SK"/>
    </w:rPr>
  </w:style>
  <w:style w:type="paragraph" w:styleId="Odsekzoznamu">
    <w:name w:val="List Paragraph"/>
    <w:basedOn w:val="Normlny"/>
    <w:uiPriority w:val="99"/>
    <w:qFormat/>
    <w:rsid w:val="00992C19"/>
    <w:pPr>
      <w:spacing w:after="0" w:line="240" w:lineRule="auto"/>
      <w:ind w:left="720" w:right="0" w:firstLine="0"/>
      <w:contextualSpacing/>
    </w:pPr>
    <w:rPr>
      <w:color w:val="auto"/>
      <w:szCs w:val="24"/>
    </w:rPr>
  </w:style>
  <w:style w:type="character" w:styleId="Odkaznapoznmkupodiarou">
    <w:name w:val="footnote reference"/>
    <w:basedOn w:val="Predvolenpsmoodseku"/>
    <w:uiPriority w:val="99"/>
    <w:semiHidden/>
    <w:unhideWhenUsed/>
    <w:rsid w:val="00992C19"/>
    <w:rPr>
      <w:vertAlign w:val="superscript"/>
    </w:rPr>
  </w:style>
  <w:style w:type="paragraph" w:styleId="Textbubliny">
    <w:name w:val="Balloon Text"/>
    <w:basedOn w:val="Normlny"/>
    <w:link w:val="TextbublinyChar"/>
    <w:uiPriority w:val="99"/>
    <w:semiHidden/>
    <w:unhideWhenUsed/>
    <w:rsid w:val="005A0DD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A0DD0"/>
    <w:rPr>
      <w:rFonts w:ascii="Segoe UI" w:eastAsia="Times New Roman" w:hAnsi="Segoe UI" w:cs="Segoe UI"/>
      <w:color w:val="000000"/>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82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1142</Words>
  <Characters>6513</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Mesto Stará Turá</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Sládková, Mgr.</dc:creator>
  <cp:keywords/>
  <dc:description/>
  <cp:lastModifiedBy>Ing. Marek Miklovič</cp:lastModifiedBy>
  <cp:revision>2</cp:revision>
  <cp:lastPrinted>2020-02-26T12:43:00Z</cp:lastPrinted>
  <dcterms:created xsi:type="dcterms:W3CDTF">2020-08-28T12:53:00Z</dcterms:created>
  <dcterms:modified xsi:type="dcterms:W3CDTF">2020-08-28T12:53:00Z</dcterms:modified>
</cp:coreProperties>
</file>